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B35D" w14:textId="77777777" w:rsidR="005872A9" w:rsidRPr="0098560F" w:rsidRDefault="005872A9" w:rsidP="0098560F">
      <w:pPr>
        <w:pStyle w:val="Title"/>
        <w:spacing w:before="2040" w:line="276" w:lineRule="auto"/>
        <w:rPr>
          <w:rFonts w:ascii="Arial" w:hAnsi="Arial" w:cs="Arial"/>
          <w:b/>
          <w:color w:val="6B2976"/>
          <w:szCs w:val="68"/>
        </w:rPr>
      </w:pPr>
      <w:bookmarkStart w:id="0" w:name="_Toc58311325"/>
      <w:r w:rsidRPr="0098560F">
        <w:rPr>
          <w:rFonts w:ascii="Arial" w:hAnsi="Arial" w:cs="Arial"/>
          <w:b/>
          <w:color w:val="6B2976"/>
          <w:szCs w:val="68"/>
        </w:rPr>
        <w:t>Improving outcomes for people with disability under the National Disability Strategy and the NDIS</w:t>
      </w:r>
    </w:p>
    <w:p w14:paraId="51BFEF7E" w14:textId="77777777" w:rsidR="005872A9" w:rsidRPr="0098560F" w:rsidRDefault="005872A9" w:rsidP="0098560F">
      <w:pPr>
        <w:rPr>
          <w:rFonts w:cs="Arial"/>
          <w:color w:val="6B2976"/>
          <w:sz w:val="20"/>
        </w:rPr>
      </w:pPr>
    </w:p>
    <w:p w14:paraId="4B53A684" w14:textId="77777777" w:rsidR="005872A9" w:rsidRPr="0098560F" w:rsidRDefault="005872A9" w:rsidP="0098560F">
      <w:pPr>
        <w:pStyle w:val="Title"/>
        <w:spacing w:before="200" w:line="276" w:lineRule="auto"/>
        <w:rPr>
          <w:rFonts w:ascii="Arial" w:hAnsi="Arial" w:cs="Arial"/>
          <w:color w:val="6B2976"/>
          <w:szCs w:val="68"/>
        </w:rPr>
      </w:pPr>
      <w:r w:rsidRPr="0098560F">
        <w:rPr>
          <w:rFonts w:ascii="Arial" w:hAnsi="Arial" w:cs="Arial"/>
          <w:b/>
          <w:color w:val="6B2976"/>
          <w:szCs w:val="68"/>
        </w:rPr>
        <w:t>Submission to the Department of Social Services</w:t>
      </w:r>
    </w:p>
    <w:p w14:paraId="7995A781" w14:textId="77777777" w:rsidR="005872A9" w:rsidRPr="0098560F" w:rsidRDefault="005872A9" w:rsidP="0098560F">
      <w:pPr>
        <w:rPr>
          <w:rFonts w:cs="Arial"/>
          <w:b/>
          <w:color w:val="6B2976"/>
          <w:sz w:val="28"/>
          <w:szCs w:val="30"/>
        </w:rPr>
      </w:pPr>
    </w:p>
    <w:p w14:paraId="4CD5CDC1" w14:textId="23C3EDE8" w:rsidR="005872A9" w:rsidRPr="0098560F" w:rsidRDefault="005872A9" w:rsidP="0098560F">
      <w:pPr>
        <w:spacing w:before="4200"/>
        <w:rPr>
          <w:rFonts w:cs="Arial"/>
          <w:sz w:val="20"/>
        </w:rPr>
      </w:pPr>
      <w:r w:rsidRPr="0098560F">
        <w:rPr>
          <w:rFonts w:cs="Arial"/>
          <w:b/>
          <w:sz w:val="36"/>
          <w:szCs w:val="40"/>
        </w:rPr>
        <w:t>December 2020</w:t>
      </w:r>
      <w:bookmarkStart w:id="1" w:name="_GoBack"/>
      <w:bookmarkEnd w:id="1"/>
    </w:p>
    <w:p w14:paraId="414346BF" w14:textId="77777777" w:rsidR="005872A9" w:rsidRPr="0098560F" w:rsidRDefault="005872A9" w:rsidP="0098560F">
      <w:pPr>
        <w:rPr>
          <w:rFonts w:eastAsia="Times"/>
          <w:sz w:val="28"/>
          <w:szCs w:val="32"/>
        </w:rPr>
      </w:pPr>
      <w:r w:rsidRPr="0098560F">
        <w:br w:type="page"/>
      </w:r>
    </w:p>
    <w:sdt>
      <w:sdtPr>
        <w:rPr>
          <w:rFonts w:eastAsia="Calibri" w:cs="Arial"/>
          <w:b w:val="0"/>
          <w:bCs w:val="0"/>
          <w:color w:val="auto"/>
          <w:sz w:val="20"/>
          <w:szCs w:val="22"/>
          <w:lang w:val="en-AU"/>
        </w:rPr>
        <w:id w:val="-832448835"/>
        <w:docPartObj>
          <w:docPartGallery w:val="Table of Contents"/>
          <w:docPartUnique/>
        </w:docPartObj>
      </w:sdtPr>
      <w:sdtEndPr>
        <w:rPr>
          <w:noProof/>
        </w:rPr>
      </w:sdtEndPr>
      <w:sdtContent>
        <w:p w14:paraId="4CFDDADD" w14:textId="77777777" w:rsidR="00B14742" w:rsidRPr="00E26FD0" w:rsidRDefault="00B14742" w:rsidP="0098560F">
          <w:pPr>
            <w:pStyle w:val="TOCHeading"/>
            <w:rPr>
              <w:rFonts w:cs="Arial"/>
              <w:color w:val="auto"/>
              <w:sz w:val="24"/>
            </w:rPr>
          </w:pPr>
          <w:r w:rsidRPr="00E26FD0">
            <w:rPr>
              <w:rFonts w:cs="Arial"/>
              <w:color w:val="auto"/>
              <w:sz w:val="24"/>
            </w:rPr>
            <w:t>Table of Contents</w:t>
          </w:r>
        </w:p>
        <w:p w14:paraId="3B838B17" w14:textId="10196F9A" w:rsidR="00E26FD0" w:rsidRPr="00E26FD0" w:rsidRDefault="00E26FD0">
          <w:pPr>
            <w:pStyle w:val="TOC1"/>
            <w:tabs>
              <w:tab w:val="right" w:leader="dot" w:pos="9010"/>
            </w:tabs>
            <w:rPr>
              <w:rFonts w:ascii="Arial" w:eastAsiaTheme="minorEastAsia" w:hAnsi="Arial" w:cs="Arial"/>
              <w:b w:val="0"/>
              <w:bCs w:val="0"/>
              <w:noProof/>
              <w:sz w:val="22"/>
              <w:szCs w:val="22"/>
              <w:lang w:eastAsia="en-AU"/>
            </w:rPr>
          </w:pPr>
          <w:r w:rsidRPr="00E26FD0">
            <w:rPr>
              <w:rFonts w:ascii="Arial" w:hAnsi="Arial" w:cs="Arial"/>
              <w:sz w:val="22"/>
              <w:szCs w:val="22"/>
            </w:rPr>
            <w:fldChar w:fldCharType="begin"/>
          </w:r>
          <w:r w:rsidRPr="00E26FD0">
            <w:rPr>
              <w:rFonts w:ascii="Arial" w:hAnsi="Arial" w:cs="Arial"/>
              <w:sz w:val="22"/>
              <w:szCs w:val="22"/>
            </w:rPr>
            <w:instrText xml:space="preserve"> TOC \o "1-2" \h \z \u </w:instrText>
          </w:r>
          <w:r w:rsidRPr="00E26FD0">
            <w:rPr>
              <w:rFonts w:ascii="Arial" w:hAnsi="Arial" w:cs="Arial"/>
              <w:sz w:val="22"/>
              <w:szCs w:val="22"/>
            </w:rPr>
            <w:fldChar w:fldCharType="separate"/>
          </w:r>
          <w:hyperlink w:anchor="_Toc59113115" w:history="1">
            <w:r w:rsidRPr="00E26FD0">
              <w:rPr>
                <w:rStyle w:val="Hyperlink"/>
                <w:rFonts w:ascii="Arial" w:hAnsi="Arial" w:cs="Arial"/>
                <w:noProof/>
                <w:sz w:val="22"/>
                <w:szCs w:val="22"/>
              </w:rPr>
              <w:t>Introduction</w:t>
            </w:r>
            <w:r w:rsidRPr="00E26FD0">
              <w:rPr>
                <w:rFonts w:ascii="Arial" w:hAnsi="Arial" w:cs="Arial"/>
                <w:noProof/>
                <w:webHidden/>
                <w:sz w:val="22"/>
                <w:szCs w:val="22"/>
              </w:rPr>
              <w:tab/>
            </w:r>
            <w:r w:rsidRPr="00E26FD0">
              <w:rPr>
                <w:rFonts w:ascii="Arial" w:hAnsi="Arial" w:cs="Arial"/>
                <w:noProof/>
                <w:webHidden/>
                <w:sz w:val="22"/>
                <w:szCs w:val="22"/>
              </w:rPr>
              <w:fldChar w:fldCharType="begin"/>
            </w:r>
            <w:r w:rsidRPr="00E26FD0">
              <w:rPr>
                <w:rFonts w:ascii="Arial" w:hAnsi="Arial" w:cs="Arial"/>
                <w:noProof/>
                <w:webHidden/>
                <w:sz w:val="22"/>
                <w:szCs w:val="22"/>
              </w:rPr>
              <w:instrText xml:space="preserve"> PAGEREF _Toc59113115 \h </w:instrText>
            </w:r>
            <w:r w:rsidRPr="00E26FD0">
              <w:rPr>
                <w:rFonts w:ascii="Arial" w:hAnsi="Arial" w:cs="Arial"/>
                <w:noProof/>
                <w:webHidden/>
                <w:sz w:val="22"/>
                <w:szCs w:val="22"/>
              </w:rPr>
            </w:r>
            <w:r w:rsidRPr="00E26FD0">
              <w:rPr>
                <w:rFonts w:ascii="Arial" w:hAnsi="Arial" w:cs="Arial"/>
                <w:noProof/>
                <w:webHidden/>
                <w:sz w:val="22"/>
                <w:szCs w:val="22"/>
              </w:rPr>
              <w:fldChar w:fldCharType="separate"/>
            </w:r>
            <w:r w:rsidR="00D21171">
              <w:rPr>
                <w:rFonts w:ascii="Arial" w:hAnsi="Arial" w:cs="Arial"/>
                <w:noProof/>
                <w:webHidden/>
                <w:sz w:val="22"/>
                <w:szCs w:val="22"/>
              </w:rPr>
              <w:t>3</w:t>
            </w:r>
            <w:r w:rsidRPr="00E26FD0">
              <w:rPr>
                <w:rFonts w:ascii="Arial" w:hAnsi="Arial" w:cs="Arial"/>
                <w:noProof/>
                <w:webHidden/>
                <w:sz w:val="22"/>
                <w:szCs w:val="22"/>
              </w:rPr>
              <w:fldChar w:fldCharType="end"/>
            </w:r>
          </w:hyperlink>
        </w:p>
        <w:p w14:paraId="407BD443" w14:textId="0629BAC2"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16" w:history="1">
            <w:r w:rsidR="00E26FD0" w:rsidRPr="00E26FD0">
              <w:rPr>
                <w:rStyle w:val="Hyperlink"/>
                <w:rFonts w:ascii="Arial" w:hAnsi="Arial" w:cs="Arial"/>
                <w:noProof/>
                <w:sz w:val="22"/>
                <w:szCs w:val="22"/>
              </w:rPr>
              <w:t>General feedback on outcomes measures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_Toc59113116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3</w:t>
            </w:r>
            <w:r w:rsidR="00E26FD0" w:rsidRPr="00E26FD0">
              <w:rPr>
                <w:rFonts w:ascii="Arial" w:hAnsi="Arial" w:cs="Arial"/>
                <w:noProof/>
                <w:webHidden/>
                <w:sz w:val="22"/>
                <w:szCs w:val="22"/>
              </w:rPr>
              <w:fldChar w:fldCharType="end"/>
            </w:r>
          </w:hyperlink>
        </w:p>
        <w:p w14:paraId="698ADF2F" w14:textId="1A741D80"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17" w:history="1">
            <w:r w:rsidR="00E26FD0" w:rsidRPr="00E26FD0">
              <w:rPr>
                <w:rStyle w:val="Hyperlink"/>
                <w:rFonts w:ascii="Arial" w:hAnsi="Arial" w:cs="Arial"/>
                <w:noProof/>
                <w:sz w:val="22"/>
                <w:szCs w:val="22"/>
                <w:lang w:eastAsia="en-AU"/>
              </w:rPr>
              <w:t>Language</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_Toc59113117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3</w:t>
            </w:r>
            <w:r w:rsidR="00E26FD0" w:rsidRPr="00E26FD0">
              <w:rPr>
                <w:rFonts w:ascii="Arial" w:hAnsi="Arial" w:cs="Arial"/>
                <w:noProof/>
                <w:webHidden/>
                <w:sz w:val="22"/>
                <w:szCs w:val="22"/>
              </w:rPr>
              <w:fldChar w:fldCharType="end"/>
            </w:r>
          </w:hyperlink>
        </w:p>
        <w:p w14:paraId="0FA10DE8" w14:textId="55FCA53F"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18" w:history="1">
            <w:r w:rsidR="00E26FD0" w:rsidRPr="00E26FD0">
              <w:rPr>
                <w:rStyle w:val="Hyperlink"/>
                <w:rFonts w:ascii="Arial" w:hAnsi="Arial" w:cs="Arial"/>
                <w:noProof/>
                <w:sz w:val="22"/>
                <w:szCs w:val="22"/>
              </w:rPr>
              <w:t>Social and accessible communities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_Toc59113118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4</w:t>
            </w:r>
            <w:r w:rsidR="00E26FD0" w:rsidRPr="00E26FD0">
              <w:rPr>
                <w:rFonts w:ascii="Arial" w:hAnsi="Arial" w:cs="Arial"/>
                <w:noProof/>
                <w:webHidden/>
                <w:sz w:val="22"/>
                <w:szCs w:val="22"/>
              </w:rPr>
              <w:fldChar w:fldCharType="end"/>
            </w:r>
          </w:hyperlink>
        </w:p>
        <w:p w14:paraId="309F2C1D" w14:textId="65BC9C9E"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19" w:history="1">
            <w:r w:rsidR="00E26FD0" w:rsidRPr="00E26FD0">
              <w:rPr>
                <w:rStyle w:val="Hyperlink"/>
                <w:rFonts w:ascii="Arial" w:eastAsia="Times" w:hAnsi="Arial" w:cs="Arial"/>
                <w:noProof/>
                <w:sz w:val="22"/>
                <w:szCs w:val="22"/>
              </w:rPr>
              <w:t>Background</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_Toc59113119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4</w:t>
            </w:r>
            <w:r w:rsidR="00E26FD0" w:rsidRPr="00E26FD0">
              <w:rPr>
                <w:rFonts w:ascii="Arial" w:hAnsi="Arial" w:cs="Arial"/>
                <w:noProof/>
                <w:webHidden/>
                <w:sz w:val="22"/>
                <w:szCs w:val="22"/>
              </w:rPr>
              <w:fldChar w:fldCharType="end"/>
            </w:r>
          </w:hyperlink>
        </w:p>
        <w:p w14:paraId="656C1C2A" w14:textId="6D4A7BE8"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0"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_Toc59113120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4</w:t>
            </w:r>
            <w:r w:rsidR="00E26FD0" w:rsidRPr="00E26FD0">
              <w:rPr>
                <w:rFonts w:ascii="Arial" w:hAnsi="Arial" w:cs="Arial"/>
                <w:noProof/>
                <w:webHidden/>
                <w:sz w:val="22"/>
                <w:szCs w:val="22"/>
              </w:rPr>
              <w:fldChar w:fldCharType="end"/>
            </w:r>
          </w:hyperlink>
        </w:p>
        <w:p w14:paraId="7F8169F8" w14:textId="243729A8"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21" w:history="1">
            <w:r w:rsidR="00E26FD0" w:rsidRPr="00E26FD0">
              <w:rPr>
                <w:rStyle w:val="Hyperlink"/>
                <w:rFonts w:ascii="Arial" w:hAnsi="Arial" w:cs="Arial"/>
                <w:noProof/>
                <w:sz w:val="22"/>
                <w:szCs w:val="22"/>
              </w:rPr>
              <w:t>Economic security</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_Toc59113121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5</w:t>
            </w:r>
            <w:r w:rsidR="00E26FD0" w:rsidRPr="00E26FD0">
              <w:rPr>
                <w:rFonts w:ascii="Arial" w:hAnsi="Arial" w:cs="Arial"/>
                <w:noProof/>
                <w:webHidden/>
                <w:sz w:val="22"/>
                <w:szCs w:val="22"/>
              </w:rPr>
              <w:fldChar w:fldCharType="end"/>
            </w:r>
          </w:hyperlink>
        </w:p>
        <w:p w14:paraId="22CB52D2" w14:textId="5AECCD66"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2" w:history="1">
            <w:r w:rsidR="00E26FD0" w:rsidRPr="00E26FD0">
              <w:rPr>
                <w:rStyle w:val="Hyperlink"/>
                <w:rFonts w:ascii="Arial" w:eastAsia="Times" w:hAnsi="Arial" w:cs="Arial"/>
                <w:noProof/>
                <w:sz w:val="22"/>
                <w:szCs w:val="22"/>
              </w:rPr>
              <w:t>Background</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_Toc59113122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5</w:t>
            </w:r>
            <w:r w:rsidR="00E26FD0" w:rsidRPr="00E26FD0">
              <w:rPr>
                <w:rFonts w:ascii="Arial" w:hAnsi="Arial" w:cs="Arial"/>
                <w:noProof/>
                <w:webHidden/>
                <w:sz w:val="22"/>
                <w:szCs w:val="22"/>
              </w:rPr>
              <w:fldChar w:fldCharType="end"/>
            </w:r>
          </w:hyperlink>
        </w:p>
        <w:p w14:paraId="6D35025A" w14:textId="4FCA030C"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3"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_Toc59113123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6</w:t>
            </w:r>
            <w:r w:rsidR="00E26FD0" w:rsidRPr="00E26FD0">
              <w:rPr>
                <w:rFonts w:ascii="Arial" w:hAnsi="Arial" w:cs="Arial"/>
                <w:noProof/>
                <w:webHidden/>
                <w:sz w:val="22"/>
                <w:szCs w:val="22"/>
              </w:rPr>
              <w:fldChar w:fldCharType="end"/>
            </w:r>
          </w:hyperlink>
        </w:p>
        <w:p w14:paraId="25A81C26" w14:textId="2373987A"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24" w:history="1">
            <w:r w:rsidR="00E26FD0" w:rsidRPr="00E26FD0">
              <w:rPr>
                <w:rStyle w:val="Hyperlink"/>
                <w:rFonts w:ascii="Arial" w:hAnsi="Arial" w:cs="Arial"/>
                <w:noProof/>
                <w:sz w:val="22"/>
                <w:szCs w:val="22"/>
              </w:rPr>
              <w:t>Health and wellbeing</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_Toc59113124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6</w:t>
            </w:r>
            <w:r w:rsidR="00E26FD0" w:rsidRPr="00E26FD0">
              <w:rPr>
                <w:rFonts w:ascii="Arial" w:hAnsi="Arial" w:cs="Arial"/>
                <w:noProof/>
                <w:webHidden/>
                <w:sz w:val="22"/>
                <w:szCs w:val="22"/>
              </w:rPr>
              <w:fldChar w:fldCharType="end"/>
            </w:r>
          </w:hyperlink>
        </w:p>
        <w:p w14:paraId="3D4CB58C" w14:textId="25F91024"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5" w:history="1">
            <w:r w:rsidR="00E26FD0" w:rsidRPr="00E26FD0">
              <w:rPr>
                <w:rStyle w:val="Hyperlink"/>
                <w:rFonts w:ascii="Arial" w:hAnsi="Arial" w:cs="Arial"/>
                <w:noProof/>
                <w:sz w:val="22"/>
                <w:szCs w:val="22"/>
              </w:rPr>
              <w:t>Background</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_Toc59113125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6</w:t>
            </w:r>
            <w:r w:rsidR="00E26FD0" w:rsidRPr="00E26FD0">
              <w:rPr>
                <w:rFonts w:ascii="Arial" w:hAnsi="Arial" w:cs="Arial"/>
                <w:noProof/>
                <w:webHidden/>
                <w:sz w:val="22"/>
                <w:szCs w:val="22"/>
              </w:rPr>
              <w:fldChar w:fldCharType="end"/>
            </w:r>
          </w:hyperlink>
        </w:p>
        <w:p w14:paraId="42DD8A3C" w14:textId="4693285B"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6"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_Toc59113126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6</w:t>
            </w:r>
            <w:r w:rsidR="00E26FD0" w:rsidRPr="00E26FD0">
              <w:rPr>
                <w:rFonts w:ascii="Arial" w:hAnsi="Arial" w:cs="Arial"/>
                <w:noProof/>
                <w:webHidden/>
                <w:sz w:val="22"/>
                <w:szCs w:val="22"/>
              </w:rPr>
              <w:fldChar w:fldCharType="end"/>
            </w:r>
          </w:hyperlink>
        </w:p>
        <w:p w14:paraId="480CF97C" w14:textId="46B08F97"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27" w:history="1">
            <w:r w:rsidR="00E26FD0" w:rsidRPr="00E26FD0">
              <w:rPr>
                <w:rStyle w:val="Hyperlink"/>
                <w:rFonts w:ascii="Arial" w:hAnsi="Arial" w:cs="Arial"/>
                <w:noProof/>
                <w:sz w:val="22"/>
                <w:szCs w:val="22"/>
              </w:rPr>
              <w:t>Rights protection</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_Toc59113127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8</w:t>
            </w:r>
            <w:r w:rsidR="00E26FD0" w:rsidRPr="00E26FD0">
              <w:rPr>
                <w:rFonts w:ascii="Arial" w:hAnsi="Arial" w:cs="Arial"/>
                <w:noProof/>
                <w:webHidden/>
                <w:sz w:val="22"/>
                <w:szCs w:val="22"/>
              </w:rPr>
              <w:fldChar w:fldCharType="end"/>
            </w:r>
          </w:hyperlink>
        </w:p>
        <w:p w14:paraId="34CBF425" w14:textId="47BE874D"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8" w:history="1">
            <w:r w:rsidR="00E26FD0" w:rsidRPr="00E26FD0">
              <w:rPr>
                <w:rStyle w:val="Hyperlink"/>
                <w:rFonts w:ascii="Arial" w:eastAsia="Times" w:hAnsi="Arial" w:cs="Arial"/>
                <w:noProof/>
                <w:sz w:val="22"/>
                <w:szCs w:val="22"/>
              </w:rPr>
              <w:t>Background</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_Toc59113128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8</w:t>
            </w:r>
            <w:r w:rsidR="00E26FD0" w:rsidRPr="00E26FD0">
              <w:rPr>
                <w:rFonts w:ascii="Arial" w:hAnsi="Arial" w:cs="Arial"/>
                <w:noProof/>
                <w:webHidden/>
                <w:sz w:val="22"/>
                <w:szCs w:val="22"/>
              </w:rPr>
              <w:fldChar w:fldCharType="end"/>
            </w:r>
          </w:hyperlink>
        </w:p>
        <w:p w14:paraId="0F621114" w14:textId="471A08F6"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29"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_Toc59113129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9</w:t>
            </w:r>
            <w:r w:rsidR="00E26FD0" w:rsidRPr="00E26FD0">
              <w:rPr>
                <w:rFonts w:ascii="Arial" w:hAnsi="Arial" w:cs="Arial"/>
                <w:noProof/>
                <w:webHidden/>
                <w:sz w:val="22"/>
                <w:szCs w:val="22"/>
              </w:rPr>
              <w:fldChar w:fldCharType="end"/>
            </w:r>
          </w:hyperlink>
        </w:p>
        <w:p w14:paraId="4035D361" w14:textId="60E00356"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30" w:history="1">
            <w:r w:rsidR="00E26FD0" w:rsidRPr="00E26FD0">
              <w:rPr>
                <w:rStyle w:val="Hyperlink"/>
                <w:rFonts w:ascii="Arial" w:hAnsi="Arial" w:cs="Arial"/>
                <w:noProof/>
                <w:sz w:val="22"/>
                <w:szCs w:val="22"/>
                <w:lang w:eastAsia="en-AU"/>
              </w:rPr>
              <w:t>Learning and skills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_Toc59113130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9</w:t>
            </w:r>
            <w:r w:rsidR="00E26FD0" w:rsidRPr="00E26FD0">
              <w:rPr>
                <w:rFonts w:ascii="Arial" w:hAnsi="Arial" w:cs="Arial"/>
                <w:noProof/>
                <w:webHidden/>
                <w:sz w:val="22"/>
                <w:szCs w:val="22"/>
              </w:rPr>
              <w:fldChar w:fldCharType="end"/>
            </w:r>
          </w:hyperlink>
        </w:p>
        <w:p w14:paraId="6BFB0308" w14:textId="796503B0"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1"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_Toc59113131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9</w:t>
            </w:r>
            <w:r w:rsidR="00E26FD0" w:rsidRPr="00E26FD0">
              <w:rPr>
                <w:rFonts w:ascii="Arial" w:hAnsi="Arial" w:cs="Arial"/>
                <w:noProof/>
                <w:webHidden/>
                <w:sz w:val="22"/>
                <w:szCs w:val="22"/>
              </w:rPr>
              <w:fldChar w:fldCharType="end"/>
            </w:r>
          </w:hyperlink>
        </w:p>
        <w:p w14:paraId="17B03F19" w14:textId="6FFB7F46"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32" w:history="1">
            <w:r w:rsidR="00E26FD0" w:rsidRPr="00E26FD0">
              <w:rPr>
                <w:rStyle w:val="Hyperlink"/>
                <w:rFonts w:ascii="Arial" w:hAnsi="Arial" w:cs="Arial"/>
                <w:noProof/>
                <w:sz w:val="22"/>
                <w:szCs w:val="22"/>
              </w:rPr>
              <w:t>Personal and community support</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_Toc59113132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9</w:t>
            </w:r>
            <w:r w:rsidR="00E26FD0" w:rsidRPr="00E26FD0">
              <w:rPr>
                <w:rFonts w:ascii="Arial" w:hAnsi="Arial" w:cs="Arial"/>
                <w:noProof/>
                <w:webHidden/>
                <w:sz w:val="22"/>
                <w:szCs w:val="22"/>
              </w:rPr>
              <w:fldChar w:fldCharType="end"/>
            </w:r>
          </w:hyperlink>
        </w:p>
        <w:p w14:paraId="5F7158DA" w14:textId="45AC8442"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3" w:history="1">
            <w:r w:rsidR="00E26FD0" w:rsidRPr="00E26FD0">
              <w:rPr>
                <w:rStyle w:val="Hyperlink"/>
                <w:rFonts w:ascii="Arial" w:eastAsia="Times" w:hAnsi="Arial" w:cs="Arial"/>
                <w:noProof/>
                <w:sz w:val="22"/>
                <w:szCs w:val="22"/>
              </w:rPr>
              <w:t>Specific commentary in relation to outcomes and indicators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_Toc59113133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9</w:t>
            </w:r>
            <w:r w:rsidR="00E26FD0" w:rsidRPr="00E26FD0">
              <w:rPr>
                <w:rFonts w:ascii="Arial" w:hAnsi="Arial" w:cs="Arial"/>
                <w:noProof/>
                <w:webHidden/>
                <w:sz w:val="22"/>
                <w:szCs w:val="22"/>
              </w:rPr>
              <w:fldChar w:fldCharType="end"/>
            </w:r>
          </w:hyperlink>
        </w:p>
        <w:p w14:paraId="1A6A9AEF" w14:textId="5DD22E36" w:rsidR="00E26FD0" w:rsidRPr="00E26FD0" w:rsidRDefault="003F007B">
          <w:pPr>
            <w:pStyle w:val="TOC1"/>
            <w:tabs>
              <w:tab w:val="right" w:leader="dot" w:pos="9010"/>
            </w:tabs>
            <w:rPr>
              <w:rFonts w:ascii="Arial" w:eastAsiaTheme="minorEastAsia" w:hAnsi="Arial" w:cs="Arial"/>
              <w:b w:val="0"/>
              <w:bCs w:val="0"/>
              <w:noProof/>
              <w:sz w:val="22"/>
              <w:szCs w:val="22"/>
              <w:lang w:eastAsia="en-AU"/>
            </w:rPr>
          </w:pPr>
          <w:hyperlink w:anchor="_Toc59113134" w:history="1">
            <w:r w:rsidR="00E26FD0" w:rsidRPr="00E26FD0">
              <w:rPr>
                <w:rStyle w:val="Hyperlink"/>
                <w:rFonts w:ascii="Arial" w:hAnsi="Arial" w:cs="Arial"/>
                <w:noProof/>
                <w:sz w:val="22"/>
                <w:szCs w:val="22"/>
              </w:rPr>
              <w:t>Implementation of the outcomes framework to enhance the tracking of effectiveness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_Toc59113134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06C68058" w14:textId="38DD3E40"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5" w:history="1">
            <w:r w:rsidR="00E26FD0" w:rsidRPr="00E26FD0">
              <w:rPr>
                <w:rStyle w:val="Hyperlink"/>
                <w:rFonts w:ascii="Arial" w:hAnsi="Arial" w:cs="Arial"/>
                <w:noProof/>
                <w:sz w:val="22"/>
                <w:szCs w:val="22"/>
              </w:rPr>
              <w:t>Co-design the NDS and outcomes measures with people with disability</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_Toc59113135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08366852" w14:textId="037C35EC"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6" w:history="1">
            <w:r w:rsidR="00E26FD0" w:rsidRPr="00E26FD0">
              <w:rPr>
                <w:rStyle w:val="Hyperlink"/>
                <w:rFonts w:ascii="Arial" w:hAnsi="Arial" w:cs="Arial"/>
                <w:noProof/>
                <w:sz w:val="22"/>
                <w:szCs w:val="22"/>
              </w:rPr>
              <w:t>Annual report to Parliament</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_Toc59113136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2A4CB5AE" w14:textId="18BA932A"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7" w:history="1">
            <w:r w:rsidR="00E26FD0" w:rsidRPr="00E26FD0">
              <w:rPr>
                <w:rStyle w:val="Hyperlink"/>
                <w:rFonts w:ascii="Arial" w:hAnsi="Arial" w:cs="Arial"/>
                <w:noProof/>
                <w:sz w:val="22"/>
                <w:szCs w:val="22"/>
              </w:rPr>
              <w:t>Requirement that all legislation to be viewed through a disability lens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_Toc59113137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5BE2AE46" w14:textId="181856DC"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8" w:history="1">
            <w:r w:rsidR="00E26FD0" w:rsidRPr="00E26FD0">
              <w:rPr>
                <w:rStyle w:val="Hyperlink"/>
                <w:rFonts w:ascii="Arial" w:hAnsi="Arial" w:cs="Arial"/>
                <w:noProof/>
                <w:sz w:val="22"/>
                <w:szCs w:val="22"/>
              </w:rPr>
              <w:t>Commitments of the National Disability Agreement into all Commonwealth–State Agreements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_Toc59113138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22449A02" w14:textId="51CAFBE7" w:rsidR="00E26FD0" w:rsidRPr="00E26FD0" w:rsidRDefault="003F007B">
          <w:pPr>
            <w:pStyle w:val="TOC2"/>
            <w:tabs>
              <w:tab w:val="right" w:leader="dot" w:pos="9010"/>
            </w:tabs>
            <w:rPr>
              <w:rFonts w:ascii="Arial" w:eastAsiaTheme="minorEastAsia" w:hAnsi="Arial" w:cs="Arial"/>
              <w:i w:val="0"/>
              <w:iCs w:val="0"/>
              <w:noProof/>
              <w:sz w:val="22"/>
              <w:szCs w:val="22"/>
              <w:lang w:eastAsia="en-AU"/>
            </w:rPr>
          </w:pPr>
          <w:hyperlink w:anchor="_Toc59113139" w:history="1">
            <w:r w:rsidR="00E26FD0" w:rsidRPr="00E26FD0">
              <w:rPr>
                <w:rStyle w:val="Hyperlink"/>
                <w:rFonts w:ascii="Arial" w:hAnsi="Arial" w:cs="Arial"/>
                <w:noProof/>
                <w:sz w:val="22"/>
                <w:szCs w:val="22"/>
              </w:rPr>
              <w:t>Collection, dissemination and reporting on data that reflect changes in outcomes</w:t>
            </w:r>
            <w:r w:rsidR="00E26FD0" w:rsidRPr="00E26FD0">
              <w:rPr>
                <w:rFonts w:ascii="Arial" w:hAnsi="Arial" w:cs="Arial"/>
                <w:noProof/>
                <w:webHidden/>
                <w:sz w:val="22"/>
                <w:szCs w:val="22"/>
              </w:rPr>
              <w:tab/>
            </w:r>
            <w:r w:rsidR="00E26FD0" w:rsidRPr="00E26FD0">
              <w:rPr>
                <w:rFonts w:ascii="Arial" w:hAnsi="Arial" w:cs="Arial"/>
                <w:noProof/>
                <w:webHidden/>
                <w:sz w:val="22"/>
                <w:szCs w:val="22"/>
              </w:rPr>
              <w:fldChar w:fldCharType="begin"/>
            </w:r>
            <w:r w:rsidR="00E26FD0" w:rsidRPr="00E26FD0">
              <w:rPr>
                <w:rFonts w:ascii="Arial" w:hAnsi="Arial" w:cs="Arial"/>
                <w:noProof/>
                <w:webHidden/>
                <w:sz w:val="22"/>
                <w:szCs w:val="22"/>
              </w:rPr>
              <w:instrText xml:space="preserve"> PAGEREF _Toc59113139 \h </w:instrText>
            </w:r>
            <w:r w:rsidR="00E26FD0" w:rsidRPr="00E26FD0">
              <w:rPr>
                <w:rFonts w:ascii="Arial" w:hAnsi="Arial" w:cs="Arial"/>
                <w:noProof/>
                <w:webHidden/>
                <w:sz w:val="22"/>
                <w:szCs w:val="22"/>
              </w:rPr>
            </w:r>
            <w:r w:rsidR="00E26FD0" w:rsidRPr="00E26FD0">
              <w:rPr>
                <w:rFonts w:ascii="Arial" w:hAnsi="Arial" w:cs="Arial"/>
                <w:noProof/>
                <w:webHidden/>
                <w:sz w:val="22"/>
                <w:szCs w:val="22"/>
              </w:rPr>
              <w:fldChar w:fldCharType="separate"/>
            </w:r>
            <w:r w:rsidR="00D21171">
              <w:rPr>
                <w:rFonts w:ascii="Arial" w:hAnsi="Arial" w:cs="Arial"/>
                <w:noProof/>
                <w:webHidden/>
                <w:sz w:val="22"/>
                <w:szCs w:val="22"/>
              </w:rPr>
              <w:t>10</w:t>
            </w:r>
            <w:r w:rsidR="00E26FD0" w:rsidRPr="00E26FD0">
              <w:rPr>
                <w:rFonts w:ascii="Arial" w:hAnsi="Arial" w:cs="Arial"/>
                <w:noProof/>
                <w:webHidden/>
                <w:sz w:val="22"/>
                <w:szCs w:val="22"/>
              </w:rPr>
              <w:fldChar w:fldCharType="end"/>
            </w:r>
          </w:hyperlink>
        </w:p>
        <w:p w14:paraId="2898588D" w14:textId="3F655270" w:rsidR="00B14742" w:rsidRPr="0098560F" w:rsidRDefault="00E26FD0" w:rsidP="0098560F">
          <w:pPr>
            <w:rPr>
              <w:rFonts w:cs="Arial"/>
              <w:sz w:val="20"/>
            </w:rPr>
          </w:pPr>
          <w:r w:rsidRPr="00E26FD0">
            <w:rPr>
              <w:rFonts w:cs="Arial"/>
            </w:rPr>
            <w:fldChar w:fldCharType="end"/>
          </w:r>
        </w:p>
      </w:sdtContent>
    </w:sdt>
    <w:p w14:paraId="5BED68EA" w14:textId="77777777" w:rsidR="009158E2" w:rsidRPr="009158E2" w:rsidRDefault="009158E2" w:rsidP="009158E2">
      <w:pPr>
        <w:rPr>
          <w:rFonts w:eastAsia="Times"/>
          <w:szCs w:val="32"/>
        </w:rPr>
      </w:pPr>
      <w:r w:rsidRPr="009158E2">
        <w:br w:type="page"/>
      </w:r>
    </w:p>
    <w:p w14:paraId="7789E9C4" w14:textId="00B93330" w:rsidR="00C827AD" w:rsidRPr="0098560F" w:rsidRDefault="00C827AD" w:rsidP="0098560F">
      <w:pPr>
        <w:pStyle w:val="Heading1"/>
        <w:spacing w:before="200"/>
        <w:rPr>
          <w:rFonts w:cs="Arial"/>
          <w:sz w:val="28"/>
        </w:rPr>
      </w:pPr>
      <w:bookmarkStart w:id="2" w:name="_Toc59113115"/>
      <w:r w:rsidRPr="0098560F">
        <w:rPr>
          <w:rFonts w:cs="Arial"/>
          <w:sz w:val="28"/>
        </w:rPr>
        <w:lastRenderedPageBreak/>
        <w:t>Introduction</w:t>
      </w:r>
      <w:bookmarkEnd w:id="0"/>
      <w:bookmarkEnd w:id="2"/>
    </w:p>
    <w:p w14:paraId="00DA0E86" w14:textId="6FBF18D6" w:rsidR="00505F0D" w:rsidRPr="00112DA7" w:rsidRDefault="00915E2C" w:rsidP="0098560F">
      <w:pPr>
        <w:spacing w:before="200" w:after="0"/>
        <w:rPr>
          <w:rFonts w:eastAsia="Times" w:cs="Arial"/>
        </w:rPr>
      </w:pPr>
      <w:r w:rsidRPr="00112DA7">
        <w:rPr>
          <w:rFonts w:eastAsia="Times" w:cs="Arial"/>
        </w:rPr>
        <w:t xml:space="preserve">The Independent Advisory Council </w:t>
      </w:r>
      <w:r w:rsidR="00330375" w:rsidRPr="00112DA7">
        <w:rPr>
          <w:rFonts w:eastAsia="Times" w:cs="Arial"/>
        </w:rPr>
        <w:t xml:space="preserve">(Council) </w:t>
      </w:r>
      <w:r w:rsidR="00BC178A" w:rsidRPr="00112DA7">
        <w:rPr>
          <w:rFonts w:eastAsia="Times" w:cs="Arial"/>
        </w:rPr>
        <w:t>to</w:t>
      </w:r>
      <w:r w:rsidRPr="00112DA7">
        <w:rPr>
          <w:rFonts w:eastAsia="Times" w:cs="Arial"/>
        </w:rPr>
        <w:t xml:space="preserve"> the NDIS developed a comprehensive submission </w:t>
      </w:r>
      <w:r w:rsidR="00330375" w:rsidRPr="00112DA7">
        <w:rPr>
          <w:rFonts w:eastAsia="Times" w:cs="Arial"/>
        </w:rPr>
        <w:t>in relation to the National Disability Strategy (NDS)</w:t>
      </w:r>
      <w:r w:rsidR="00857A5E" w:rsidRPr="00112DA7">
        <w:rPr>
          <w:rFonts w:eastAsia="Times" w:cs="Arial"/>
        </w:rPr>
        <w:t xml:space="preserve">, </w:t>
      </w:r>
      <w:r w:rsidR="00505F0D" w:rsidRPr="00112DA7">
        <w:rPr>
          <w:rFonts w:eastAsia="Times" w:cs="Arial"/>
        </w:rPr>
        <w:t>outli</w:t>
      </w:r>
      <w:r w:rsidR="00857A5E" w:rsidRPr="00112DA7">
        <w:rPr>
          <w:rFonts w:eastAsia="Times" w:cs="Arial"/>
        </w:rPr>
        <w:t>ning</w:t>
      </w:r>
      <w:r w:rsidR="00330375" w:rsidRPr="00112DA7">
        <w:rPr>
          <w:rFonts w:eastAsia="Times" w:cs="Arial"/>
        </w:rPr>
        <w:t xml:space="preserve"> </w:t>
      </w:r>
      <w:r w:rsidR="00857A5E" w:rsidRPr="00112DA7">
        <w:rPr>
          <w:rFonts w:eastAsia="Times" w:cs="Arial"/>
        </w:rPr>
        <w:t xml:space="preserve">commitments required to close the gap between people with and without disability. Council expressed pleasure at the government </w:t>
      </w:r>
      <w:r w:rsidR="00857A5E" w:rsidRPr="00112DA7">
        <w:rPr>
          <w:rFonts w:cs="Arial"/>
          <w:color w:val="000000" w:themeColor="text1"/>
        </w:rPr>
        <w:t>commitment to improved accountability in this Strategy</w:t>
      </w:r>
      <w:r w:rsidR="00BC178A" w:rsidRPr="00112DA7">
        <w:rPr>
          <w:rFonts w:cs="Arial"/>
          <w:color w:val="000000" w:themeColor="text1"/>
        </w:rPr>
        <w:t>,</w:t>
      </w:r>
      <w:r w:rsidR="00857A5E" w:rsidRPr="00112DA7">
        <w:rPr>
          <w:rFonts w:cs="Arial"/>
          <w:color w:val="000000" w:themeColor="text1"/>
        </w:rPr>
        <w:t xml:space="preserve"> and looked forward to the establishment of rigorous systems to collect, disaggregate, disseminate and report on data to measure progress.</w:t>
      </w:r>
      <w:r w:rsidR="00505F0D" w:rsidRPr="00112DA7">
        <w:rPr>
          <w:rFonts w:eastAsia="Times" w:cs="Arial"/>
        </w:rPr>
        <w:t xml:space="preserve"> </w:t>
      </w:r>
    </w:p>
    <w:p w14:paraId="486BEA25" w14:textId="1640CF03" w:rsidR="00505F0D" w:rsidRPr="00112DA7" w:rsidRDefault="00857A5E" w:rsidP="0098560F">
      <w:pPr>
        <w:spacing w:before="200" w:after="0"/>
        <w:rPr>
          <w:rFonts w:eastAsia="Times" w:cs="Arial"/>
        </w:rPr>
      </w:pPr>
      <w:r w:rsidRPr="00112DA7">
        <w:rPr>
          <w:rFonts w:eastAsia="Times" w:cs="Arial"/>
        </w:rPr>
        <w:t xml:space="preserve">The draft </w:t>
      </w:r>
      <w:r w:rsidR="00505F0D" w:rsidRPr="00112DA7">
        <w:rPr>
          <w:rFonts w:eastAsia="Times" w:cs="Arial"/>
        </w:rPr>
        <w:t>Outcomes Framework</w:t>
      </w:r>
      <w:r w:rsidR="00BC178A" w:rsidRPr="00112DA7">
        <w:rPr>
          <w:rFonts w:eastAsia="Times" w:cs="Arial"/>
        </w:rPr>
        <w:t>s</w:t>
      </w:r>
      <w:r w:rsidR="00505F0D" w:rsidRPr="00112DA7">
        <w:rPr>
          <w:rFonts w:eastAsia="Times" w:cs="Arial"/>
        </w:rPr>
        <w:t xml:space="preserve"> </w:t>
      </w:r>
      <w:r w:rsidRPr="00112DA7">
        <w:rPr>
          <w:rFonts w:eastAsia="Times" w:cs="Arial"/>
        </w:rPr>
        <w:t xml:space="preserve">is an important first step in monitoring </w:t>
      </w:r>
      <w:r w:rsidR="00505F0D" w:rsidRPr="00112DA7">
        <w:rPr>
          <w:rFonts w:eastAsia="Times" w:cs="Arial"/>
        </w:rPr>
        <w:t>achievements under the Strategy</w:t>
      </w:r>
      <w:r w:rsidR="00BC178A" w:rsidRPr="00112DA7">
        <w:rPr>
          <w:rFonts w:eastAsia="Times" w:cs="Arial"/>
        </w:rPr>
        <w:t>,</w:t>
      </w:r>
      <w:r w:rsidRPr="00112DA7">
        <w:rPr>
          <w:rFonts w:eastAsia="Times" w:cs="Arial"/>
        </w:rPr>
        <w:t xml:space="preserve"> and when implemented </w:t>
      </w:r>
      <w:r w:rsidR="00330375" w:rsidRPr="00112DA7">
        <w:rPr>
          <w:rFonts w:eastAsia="Times" w:cs="Arial"/>
        </w:rPr>
        <w:t>will</w:t>
      </w:r>
      <w:r w:rsidR="00505F0D" w:rsidRPr="00112DA7">
        <w:rPr>
          <w:rFonts w:eastAsia="Times" w:cs="Arial"/>
        </w:rPr>
        <w:t xml:space="preserve"> </w:t>
      </w:r>
      <w:r w:rsidRPr="00112DA7">
        <w:rPr>
          <w:rFonts w:eastAsia="Times" w:cs="Arial"/>
        </w:rPr>
        <w:t>highlight</w:t>
      </w:r>
      <w:r w:rsidR="00505F0D" w:rsidRPr="00112DA7">
        <w:rPr>
          <w:rFonts w:eastAsia="Times" w:cs="Arial"/>
        </w:rPr>
        <w:t xml:space="preserve"> progress under this and future strategies. </w:t>
      </w:r>
    </w:p>
    <w:p w14:paraId="6F026182" w14:textId="32804282" w:rsidR="00C642A2" w:rsidRPr="00112DA7" w:rsidRDefault="00840F5A" w:rsidP="0098560F">
      <w:pPr>
        <w:spacing w:before="200" w:after="0"/>
        <w:rPr>
          <w:rFonts w:eastAsia="Times" w:cs="Arial"/>
        </w:rPr>
      </w:pPr>
      <w:r w:rsidRPr="00112DA7">
        <w:rPr>
          <w:rFonts w:eastAsia="Times" w:cs="Arial"/>
        </w:rPr>
        <w:t>This submission provides general feedback on the proposed outcome measures</w:t>
      </w:r>
      <w:r w:rsidR="00BC178A" w:rsidRPr="00112DA7">
        <w:rPr>
          <w:rFonts w:eastAsia="Times" w:cs="Arial"/>
        </w:rPr>
        <w:t>. D</w:t>
      </w:r>
      <w:r w:rsidRPr="00112DA7">
        <w:rPr>
          <w:rFonts w:eastAsia="Times" w:cs="Arial"/>
        </w:rPr>
        <w:t>raw</w:t>
      </w:r>
      <w:r w:rsidR="00857A5E" w:rsidRPr="00112DA7">
        <w:rPr>
          <w:rFonts w:eastAsia="Times" w:cs="Arial"/>
        </w:rPr>
        <w:t>ing</w:t>
      </w:r>
      <w:r w:rsidRPr="00112DA7">
        <w:rPr>
          <w:rFonts w:eastAsia="Times" w:cs="Arial"/>
        </w:rPr>
        <w:t xml:space="preserve"> on </w:t>
      </w:r>
      <w:r w:rsidR="00857A5E" w:rsidRPr="00112DA7">
        <w:rPr>
          <w:rFonts w:eastAsia="Times" w:cs="Arial"/>
        </w:rPr>
        <w:t xml:space="preserve">Council’s </w:t>
      </w:r>
      <w:r w:rsidRPr="00112DA7">
        <w:rPr>
          <w:rFonts w:eastAsia="Times" w:cs="Arial"/>
        </w:rPr>
        <w:t>submission on the NDS</w:t>
      </w:r>
      <w:r w:rsidR="00857A5E" w:rsidRPr="00112DA7">
        <w:rPr>
          <w:rFonts w:eastAsia="Times" w:cs="Arial"/>
        </w:rPr>
        <w:t>,</w:t>
      </w:r>
      <w:r w:rsidRPr="00112DA7">
        <w:rPr>
          <w:rFonts w:eastAsia="Times" w:cs="Arial"/>
        </w:rPr>
        <w:t xml:space="preserve"> </w:t>
      </w:r>
      <w:r w:rsidR="00BC178A" w:rsidRPr="00112DA7">
        <w:rPr>
          <w:rFonts w:eastAsia="Times" w:cs="Arial"/>
        </w:rPr>
        <w:t xml:space="preserve">it also </w:t>
      </w:r>
      <w:r w:rsidRPr="00112DA7">
        <w:rPr>
          <w:rFonts w:eastAsia="Times" w:cs="Arial"/>
        </w:rPr>
        <w:t>outline</w:t>
      </w:r>
      <w:r w:rsidR="00857A5E" w:rsidRPr="00112DA7">
        <w:rPr>
          <w:rFonts w:eastAsia="Times" w:cs="Arial"/>
        </w:rPr>
        <w:t>s</w:t>
      </w:r>
      <w:r w:rsidRPr="00112DA7">
        <w:rPr>
          <w:rFonts w:eastAsia="Times" w:cs="Arial"/>
        </w:rPr>
        <w:t xml:space="preserve"> </w:t>
      </w:r>
      <w:r w:rsidR="00C642A2" w:rsidRPr="00112DA7">
        <w:rPr>
          <w:rFonts w:eastAsia="Times" w:cs="Arial"/>
        </w:rPr>
        <w:t>background information that should be used to shape outcome measures, source barriers and locate responsibility as well as strategies to enhance motivation to treat the NDS with the seriousness it requires.</w:t>
      </w:r>
    </w:p>
    <w:p w14:paraId="4963BC40" w14:textId="77777777" w:rsidR="00922F3D" w:rsidRPr="0098560F" w:rsidRDefault="00922F3D" w:rsidP="0098560F">
      <w:pPr>
        <w:pStyle w:val="Heading1"/>
        <w:spacing w:before="200"/>
        <w:rPr>
          <w:rFonts w:cs="Arial"/>
          <w:sz w:val="28"/>
        </w:rPr>
      </w:pPr>
      <w:bookmarkStart w:id="3" w:name="_Toc58311326"/>
      <w:bookmarkStart w:id="4" w:name="_Toc59113116"/>
      <w:r w:rsidRPr="0098560F">
        <w:rPr>
          <w:rFonts w:cs="Arial"/>
          <w:sz w:val="28"/>
        </w:rPr>
        <w:t>General feedback</w:t>
      </w:r>
      <w:r w:rsidR="007C2D10" w:rsidRPr="0098560F">
        <w:rPr>
          <w:rFonts w:cs="Arial"/>
          <w:sz w:val="28"/>
        </w:rPr>
        <w:t xml:space="preserve"> on outcomes measures</w:t>
      </w:r>
      <w:bookmarkEnd w:id="3"/>
      <w:bookmarkEnd w:id="4"/>
    </w:p>
    <w:p w14:paraId="1239BF31" w14:textId="77777777" w:rsidR="00922F3D" w:rsidRPr="0098560F" w:rsidRDefault="00922F3D" w:rsidP="0098560F">
      <w:pPr>
        <w:pStyle w:val="Heading2"/>
        <w:spacing w:after="0"/>
        <w:rPr>
          <w:rFonts w:cs="Arial"/>
          <w:sz w:val="24"/>
          <w:lang w:eastAsia="en-AU"/>
        </w:rPr>
      </w:pPr>
      <w:bookmarkStart w:id="5" w:name="_Toc58311327"/>
      <w:bookmarkStart w:id="6" w:name="_Toc59113117"/>
      <w:r w:rsidRPr="0098560F">
        <w:rPr>
          <w:rFonts w:cs="Arial"/>
          <w:sz w:val="24"/>
          <w:lang w:eastAsia="en-AU"/>
        </w:rPr>
        <w:t>Language</w:t>
      </w:r>
      <w:bookmarkEnd w:id="5"/>
      <w:bookmarkEnd w:id="6"/>
    </w:p>
    <w:p w14:paraId="4C686968" w14:textId="77777777" w:rsidR="00922F3D" w:rsidRPr="00112DA7" w:rsidRDefault="00922F3D" w:rsidP="009158E2">
      <w:pPr>
        <w:spacing w:before="120" w:after="0"/>
        <w:textAlignment w:val="center"/>
        <w:rPr>
          <w:rFonts w:eastAsia="Times New Roman" w:cs="Arial"/>
          <w:lang w:eastAsia="en-AU"/>
        </w:rPr>
      </w:pPr>
      <w:r w:rsidRPr="00112DA7">
        <w:rPr>
          <w:rFonts w:eastAsia="Times New Roman" w:cs="Arial"/>
          <w:lang w:eastAsia="en-AU"/>
        </w:rPr>
        <w:t>The language o</w:t>
      </w:r>
      <w:r w:rsidR="00C642A2" w:rsidRPr="00112DA7">
        <w:rPr>
          <w:rFonts w:eastAsia="Times New Roman" w:cs="Arial"/>
          <w:lang w:eastAsia="en-AU"/>
        </w:rPr>
        <w:t>f</w:t>
      </w:r>
      <w:r w:rsidR="001814A6" w:rsidRPr="00112DA7">
        <w:rPr>
          <w:rFonts w:eastAsia="Times New Roman" w:cs="Arial"/>
          <w:lang w:eastAsia="en-AU"/>
        </w:rPr>
        <w:t xml:space="preserve"> </w:t>
      </w:r>
      <w:r w:rsidR="00C642A2" w:rsidRPr="00112DA7">
        <w:rPr>
          <w:rFonts w:eastAsia="Times New Roman" w:cs="Arial"/>
          <w:lang w:eastAsia="en-AU"/>
        </w:rPr>
        <w:t xml:space="preserve">the identified </w:t>
      </w:r>
      <w:r w:rsidRPr="00112DA7">
        <w:rPr>
          <w:rFonts w:eastAsia="Times New Roman" w:cs="Arial"/>
          <w:lang w:eastAsia="en-AU"/>
        </w:rPr>
        <w:t xml:space="preserve">outcomes </w:t>
      </w:r>
      <w:r w:rsidR="00C642A2" w:rsidRPr="00112DA7">
        <w:rPr>
          <w:rFonts w:eastAsia="Times New Roman" w:cs="Arial"/>
          <w:lang w:eastAsia="en-AU"/>
        </w:rPr>
        <w:t xml:space="preserve">appears to </w:t>
      </w:r>
      <w:r w:rsidR="002A20FE" w:rsidRPr="00112DA7">
        <w:rPr>
          <w:rFonts w:eastAsia="Times New Roman" w:cs="Arial"/>
          <w:lang w:eastAsia="en-AU"/>
        </w:rPr>
        <w:t xml:space="preserve">reflect </w:t>
      </w:r>
      <w:r w:rsidRPr="00112DA7">
        <w:rPr>
          <w:rFonts w:eastAsia="Times New Roman" w:cs="Arial"/>
          <w:lang w:eastAsia="en-AU"/>
        </w:rPr>
        <w:t>vision statement</w:t>
      </w:r>
      <w:r w:rsidR="001814A6" w:rsidRPr="00112DA7">
        <w:rPr>
          <w:rFonts w:eastAsia="Times New Roman" w:cs="Arial"/>
          <w:lang w:eastAsia="en-AU"/>
        </w:rPr>
        <w:t>s</w:t>
      </w:r>
      <w:r w:rsidR="002A20FE" w:rsidRPr="00112DA7">
        <w:rPr>
          <w:rFonts w:eastAsia="Times New Roman" w:cs="Arial"/>
          <w:lang w:eastAsia="en-AU"/>
        </w:rPr>
        <w:t xml:space="preserve"> </w:t>
      </w:r>
      <w:r w:rsidR="00C642A2" w:rsidRPr="00112DA7">
        <w:rPr>
          <w:rFonts w:eastAsia="Times New Roman" w:cs="Arial"/>
          <w:lang w:eastAsia="en-AU"/>
        </w:rPr>
        <w:t>rather</w:t>
      </w:r>
      <w:r w:rsidRPr="00112DA7">
        <w:rPr>
          <w:rFonts w:eastAsia="Times New Roman" w:cs="Arial"/>
          <w:lang w:eastAsia="en-AU"/>
        </w:rPr>
        <w:t xml:space="preserve"> than outcome state</w:t>
      </w:r>
      <w:r w:rsidR="003C6EC8" w:rsidRPr="00112DA7">
        <w:rPr>
          <w:rFonts w:eastAsia="Times New Roman" w:cs="Arial"/>
          <w:lang w:eastAsia="en-AU"/>
        </w:rPr>
        <w:t>ment</w:t>
      </w:r>
      <w:r w:rsidR="001814A6" w:rsidRPr="00112DA7">
        <w:rPr>
          <w:rFonts w:eastAsia="Times New Roman" w:cs="Arial"/>
          <w:lang w:eastAsia="en-AU"/>
        </w:rPr>
        <w:t>s</w:t>
      </w:r>
      <w:r w:rsidR="002A20FE" w:rsidRPr="00112DA7">
        <w:rPr>
          <w:rFonts w:eastAsia="Times New Roman" w:cs="Arial"/>
          <w:lang w:eastAsia="en-AU"/>
        </w:rPr>
        <w:t xml:space="preserve">. In addition, </w:t>
      </w:r>
      <w:r w:rsidR="003C6EC8" w:rsidRPr="00112DA7">
        <w:rPr>
          <w:rFonts w:eastAsia="Times New Roman" w:cs="Arial"/>
          <w:lang w:eastAsia="en-AU"/>
        </w:rPr>
        <w:t>many of the indicators</w:t>
      </w:r>
      <w:r w:rsidR="00C642A2" w:rsidRPr="00112DA7">
        <w:rPr>
          <w:rFonts w:eastAsia="Times New Roman" w:cs="Arial"/>
          <w:lang w:eastAsia="en-AU"/>
        </w:rPr>
        <w:t xml:space="preserve"> seem to </w:t>
      </w:r>
      <w:r w:rsidR="003C6EC8" w:rsidRPr="00112DA7">
        <w:rPr>
          <w:rFonts w:eastAsia="Times New Roman" w:cs="Arial"/>
          <w:lang w:eastAsia="en-AU"/>
        </w:rPr>
        <w:t>lack clarity.</w:t>
      </w:r>
    </w:p>
    <w:p w14:paraId="5CA093DF" w14:textId="77777777" w:rsidR="003C6EC8" w:rsidRPr="00112DA7" w:rsidRDefault="005D110A" w:rsidP="0098560F">
      <w:pPr>
        <w:spacing w:before="200" w:after="0"/>
        <w:textAlignment w:val="center"/>
        <w:rPr>
          <w:rFonts w:eastAsia="Times New Roman" w:cs="Arial"/>
          <w:lang w:eastAsia="en-AU"/>
        </w:rPr>
      </w:pPr>
      <w:r w:rsidRPr="00112DA7">
        <w:rPr>
          <w:rFonts w:eastAsia="Times New Roman" w:cs="Arial"/>
          <w:lang w:eastAsia="en-AU"/>
        </w:rPr>
        <w:t>Council recommend</w:t>
      </w:r>
      <w:r w:rsidR="00C642A2" w:rsidRPr="00112DA7">
        <w:rPr>
          <w:rFonts w:eastAsia="Times New Roman" w:cs="Arial"/>
          <w:lang w:eastAsia="en-AU"/>
        </w:rPr>
        <w:t>s</w:t>
      </w:r>
      <w:r w:rsidRPr="00112DA7">
        <w:rPr>
          <w:rFonts w:eastAsia="Times New Roman" w:cs="Arial"/>
          <w:lang w:eastAsia="en-AU"/>
        </w:rPr>
        <w:t xml:space="preserve"> that o</w:t>
      </w:r>
      <w:r w:rsidR="003C6EC8" w:rsidRPr="00112DA7">
        <w:rPr>
          <w:rFonts w:eastAsia="Times New Roman" w:cs="Arial"/>
          <w:lang w:eastAsia="en-AU"/>
        </w:rPr>
        <w:t>utcome statements</w:t>
      </w:r>
      <w:r w:rsidRPr="00112DA7">
        <w:rPr>
          <w:rFonts w:eastAsia="Times New Roman" w:cs="Arial"/>
          <w:lang w:eastAsia="en-AU"/>
        </w:rPr>
        <w:t>:</w:t>
      </w:r>
    </w:p>
    <w:p w14:paraId="1755AABB" w14:textId="795F8EA5" w:rsidR="005D110A"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A</w:t>
      </w:r>
      <w:r w:rsidR="003C6EC8" w:rsidRPr="00112DA7">
        <w:rPr>
          <w:rFonts w:eastAsia="Times New Roman" w:cs="Arial"/>
          <w:sz w:val="22"/>
          <w:lang w:eastAsia="en-AU"/>
        </w:rPr>
        <w:t>re unidimensional measuring one identifiable outcome</w:t>
      </w:r>
      <w:r w:rsidR="003B7987" w:rsidRPr="00112DA7">
        <w:rPr>
          <w:rFonts w:eastAsia="Times New Roman" w:cs="Arial"/>
          <w:sz w:val="22"/>
          <w:lang w:eastAsia="en-AU"/>
        </w:rPr>
        <w:t xml:space="preserve"> </w:t>
      </w:r>
      <w:r w:rsidR="00C642A2" w:rsidRPr="00112DA7">
        <w:rPr>
          <w:rFonts w:eastAsia="Times New Roman" w:cs="Arial"/>
          <w:sz w:val="22"/>
          <w:lang w:eastAsia="en-AU"/>
        </w:rPr>
        <w:t>at a time</w:t>
      </w:r>
    </w:p>
    <w:p w14:paraId="4C837DCE" w14:textId="699B93B9" w:rsidR="003C6EC8"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A</w:t>
      </w:r>
      <w:r w:rsidR="006008B9" w:rsidRPr="00112DA7">
        <w:rPr>
          <w:rFonts w:eastAsia="Times New Roman" w:cs="Arial"/>
          <w:sz w:val="22"/>
          <w:lang w:eastAsia="en-AU"/>
        </w:rPr>
        <w:t xml:space="preserve">re </w:t>
      </w:r>
      <w:r w:rsidR="003B7987" w:rsidRPr="00112DA7">
        <w:rPr>
          <w:rFonts w:eastAsia="Times New Roman" w:cs="Arial"/>
          <w:sz w:val="22"/>
          <w:lang w:eastAsia="en-AU"/>
        </w:rPr>
        <w:t>clustered to provide a picture of the issue under investigation</w:t>
      </w:r>
    </w:p>
    <w:p w14:paraId="6B7E38AD" w14:textId="3A8577F9" w:rsidR="00923013"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R</w:t>
      </w:r>
      <w:r w:rsidR="00924265" w:rsidRPr="00112DA7">
        <w:rPr>
          <w:rFonts w:eastAsia="Times New Roman" w:cs="Arial"/>
          <w:sz w:val="22"/>
          <w:lang w:eastAsia="en-AU"/>
        </w:rPr>
        <w:t xml:space="preserve">eflect something that has happened </w:t>
      </w:r>
      <w:r w:rsidR="00CD4B33" w:rsidRPr="00112DA7">
        <w:rPr>
          <w:rFonts w:eastAsia="Times New Roman" w:cs="Arial"/>
          <w:sz w:val="22"/>
          <w:lang w:eastAsia="en-AU"/>
        </w:rPr>
        <w:t xml:space="preserve">rather than opportunities </w:t>
      </w:r>
      <w:r w:rsidR="003C6EC8" w:rsidRPr="00112DA7">
        <w:rPr>
          <w:rFonts w:eastAsia="Times New Roman" w:cs="Arial"/>
          <w:sz w:val="22"/>
          <w:lang w:eastAsia="en-AU"/>
        </w:rPr>
        <w:t>e.g</w:t>
      </w:r>
      <w:r w:rsidR="00CD4B33" w:rsidRPr="00112DA7">
        <w:rPr>
          <w:rFonts w:eastAsia="Times New Roman" w:cs="Arial"/>
          <w:sz w:val="22"/>
          <w:lang w:eastAsia="en-AU"/>
        </w:rPr>
        <w:t>.</w:t>
      </w:r>
      <w:r w:rsidR="003C6EC8" w:rsidRPr="00112DA7">
        <w:rPr>
          <w:rFonts w:eastAsia="Times New Roman" w:cs="Arial"/>
          <w:sz w:val="22"/>
          <w:lang w:eastAsia="en-AU"/>
        </w:rPr>
        <w:t xml:space="preserve"> </w:t>
      </w:r>
      <w:r w:rsidRPr="00112DA7">
        <w:rPr>
          <w:rFonts w:eastAsia="Times New Roman" w:cs="Arial"/>
          <w:sz w:val="22"/>
          <w:lang w:eastAsia="en-AU"/>
        </w:rPr>
        <w:t>‘</w:t>
      </w:r>
      <w:r w:rsidR="003C6EC8" w:rsidRPr="00112DA7">
        <w:rPr>
          <w:rFonts w:eastAsia="Times New Roman" w:cs="Arial"/>
          <w:sz w:val="22"/>
          <w:lang w:eastAsia="en-AU"/>
        </w:rPr>
        <w:t>I have a job</w:t>
      </w:r>
      <w:r w:rsidRPr="00112DA7">
        <w:rPr>
          <w:rFonts w:eastAsia="Times New Roman" w:cs="Arial"/>
          <w:sz w:val="22"/>
          <w:lang w:eastAsia="en-AU"/>
        </w:rPr>
        <w:t>’</w:t>
      </w:r>
      <w:r w:rsidR="003C6EC8" w:rsidRPr="00112DA7">
        <w:rPr>
          <w:rFonts w:eastAsia="Times New Roman" w:cs="Arial"/>
          <w:sz w:val="22"/>
          <w:lang w:eastAsia="en-AU"/>
        </w:rPr>
        <w:t xml:space="preserve"> rather than </w:t>
      </w:r>
      <w:r w:rsidRPr="00112DA7">
        <w:rPr>
          <w:rFonts w:eastAsia="Times New Roman" w:cs="Arial"/>
          <w:sz w:val="22"/>
          <w:lang w:eastAsia="en-AU"/>
        </w:rPr>
        <w:t>‘</w:t>
      </w:r>
      <w:r w:rsidR="003C6EC8" w:rsidRPr="00112DA7">
        <w:rPr>
          <w:rFonts w:eastAsia="Times New Roman" w:cs="Arial"/>
          <w:i/>
          <w:iCs/>
          <w:sz w:val="22"/>
          <w:lang w:eastAsia="en-AU"/>
        </w:rPr>
        <w:t>I have employment opportunities</w:t>
      </w:r>
      <w:r w:rsidRPr="00112DA7">
        <w:rPr>
          <w:rFonts w:eastAsia="Times New Roman" w:cs="Arial"/>
          <w:i/>
          <w:iCs/>
          <w:sz w:val="22"/>
          <w:lang w:eastAsia="en-AU"/>
        </w:rPr>
        <w:t>’</w:t>
      </w:r>
      <w:r w:rsidR="00CD4B33" w:rsidRPr="00112DA7">
        <w:rPr>
          <w:rFonts w:eastAsia="Times New Roman" w:cs="Arial"/>
          <w:sz w:val="22"/>
          <w:lang w:eastAsia="en-AU"/>
        </w:rPr>
        <w:t xml:space="preserve">, </w:t>
      </w:r>
      <w:r w:rsidRPr="00112DA7">
        <w:rPr>
          <w:rFonts w:eastAsia="Times New Roman" w:cs="Arial"/>
          <w:sz w:val="22"/>
          <w:lang w:eastAsia="en-AU"/>
        </w:rPr>
        <w:t>‘</w:t>
      </w:r>
      <w:r w:rsidR="00924265" w:rsidRPr="00112DA7">
        <w:rPr>
          <w:rFonts w:eastAsia="Times New Roman" w:cs="Arial"/>
          <w:i/>
          <w:sz w:val="22"/>
          <w:lang w:eastAsia="en-AU"/>
        </w:rPr>
        <w:t>I go to the library where I feel welcome</w:t>
      </w:r>
      <w:r w:rsidRPr="00112DA7">
        <w:rPr>
          <w:rFonts w:eastAsia="Times New Roman" w:cs="Arial"/>
          <w:sz w:val="22"/>
          <w:lang w:eastAsia="en-AU"/>
        </w:rPr>
        <w:t>’</w:t>
      </w:r>
      <w:r w:rsidR="00924265" w:rsidRPr="00112DA7">
        <w:rPr>
          <w:rFonts w:eastAsia="Times New Roman" w:cs="Arial"/>
          <w:sz w:val="22"/>
          <w:lang w:eastAsia="en-AU"/>
        </w:rPr>
        <w:t xml:space="preserve"> rather than </w:t>
      </w:r>
      <w:r w:rsidRPr="00112DA7">
        <w:rPr>
          <w:rFonts w:eastAsia="Times New Roman" w:cs="Arial"/>
          <w:sz w:val="22"/>
          <w:lang w:eastAsia="en-AU"/>
        </w:rPr>
        <w:t>‘</w:t>
      </w:r>
      <w:r w:rsidR="00924265" w:rsidRPr="00112DA7">
        <w:rPr>
          <w:rFonts w:eastAsia="Times New Roman" w:cs="Arial"/>
          <w:i/>
          <w:iCs/>
          <w:sz w:val="22"/>
          <w:lang w:eastAsia="en-AU"/>
        </w:rPr>
        <w:t>I can access social and cultural events</w:t>
      </w:r>
      <w:r w:rsidRPr="00112DA7">
        <w:rPr>
          <w:rFonts w:eastAsia="Times New Roman" w:cs="Arial"/>
          <w:i/>
          <w:iCs/>
          <w:sz w:val="22"/>
          <w:lang w:eastAsia="en-AU"/>
        </w:rPr>
        <w:t>’</w:t>
      </w:r>
    </w:p>
    <w:p w14:paraId="645133D1" w14:textId="3ABA4948" w:rsidR="006008B9"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R</w:t>
      </w:r>
      <w:r w:rsidR="006008B9" w:rsidRPr="00112DA7">
        <w:rPr>
          <w:rFonts w:eastAsia="Times New Roman" w:cs="Arial"/>
          <w:sz w:val="22"/>
          <w:lang w:eastAsia="en-AU"/>
        </w:rPr>
        <w:t xml:space="preserve">eflect the breadth of meaning required e.g., the word </w:t>
      </w:r>
      <w:r w:rsidR="006008B9" w:rsidRPr="00112DA7">
        <w:rPr>
          <w:rFonts w:eastAsia="Times New Roman" w:cs="Arial"/>
          <w:i/>
          <w:iCs/>
          <w:sz w:val="22"/>
          <w:lang w:eastAsia="en-AU"/>
        </w:rPr>
        <w:t>‘accessible’</w:t>
      </w:r>
      <w:r w:rsidR="006008B9" w:rsidRPr="00112DA7">
        <w:rPr>
          <w:rFonts w:eastAsia="Times New Roman" w:cs="Arial"/>
          <w:sz w:val="22"/>
          <w:lang w:eastAsia="en-AU"/>
        </w:rPr>
        <w:t xml:space="preserve"> </w:t>
      </w:r>
      <w:r w:rsidR="00C642A2" w:rsidRPr="00112DA7">
        <w:rPr>
          <w:rFonts w:eastAsia="Times New Roman" w:cs="Arial"/>
          <w:sz w:val="22"/>
          <w:lang w:eastAsia="en-AU"/>
        </w:rPr>
        <w:t xml:space="preserve">needs to </w:t>
      </w:r>
      <w:r w:rsidR="006008B9" w:rsidRPr="00112DA7">
        <w:rPr>
          <w:rFonts w:eastAsia="Times New Roman" w:cs="Arial"/>
          <w:sz w:val="22"/>
          <w:lang w:eastAsia="en-AU"/>
        </w:rPr>
        <w:t xml:space="preserve">reflect more than physical access and includes the many other adjustments that assist people with disability to participate such as </w:t>
      </w:r>
      <w:r w:rsidR="0007144E" w:rsidRPr="00112DA7">
        <w:rPr>
          <w:rFonts w:eastAsia="Times New Roman" w:cs="Arial"/>
          <w:sz w:val="22"/>
          <w:lang w:eastAsia="en-AU"/>
        </w:rPr>
        <w:t xml:space="preserve">technology, </w:t>
      </w:r>
      <w:r w:rsidR="006008B9" w:rsidRPr="00112DA7">
        <w:rPr>
          <w:rFonts w:eastAsia="Times New Roman" w:cs="Arial"/>
          <w:sz w:val="22"/>
          <w:lang w:eastAsia="en-AU"/>
        </w:rPr>
        <w:t>Easy Read formats, images for people with intellectual</w:t>
      </w:r>
      <w:r w:rsidRPr="00112DA7">
        <w:rPr>
          <w:rFonts w:eastAsia="Times New Roman" w:cs="Arial"/>
          <w:sz w:val="22"/>
          <w:lang w:eastAsia="en-AU"/>
        </w:rPr>
        <w:t xml:space="preserve"> disability or CALD communities</w:t>
      </w:r>
      <w:r w:rsidR="00A32EDC" w:rsidRPr="00112DA7">
        <w:rPr>
          <w:rFonts w:eastAsia="Times New Roman" w:cs="Arial"/>
          <w:sz w:val="22"/>
          <w:lang w:eastAsia="en-AU"/>
        </w:rPr>
        <w:t xml:space="preserve"> </w:t>
      </w:r>
    </w:p>
    <w:p w14:paraId="1A3DB338" w14:textId="77DEF47A" w:rsidR="00923013" w:rsidRPr="00112DA7" w:rsidRDefault="00BC178A" w:rsidP="0098560F">
      <w:pPr>
        <w:pStyle w:val="ListParagraph"/>
        <w:numPr>
          <w:ilvl w:val="0"/>
          <w:numId w:val="16"/>
        </w:numPr>
        <w:spacing w:before="200" w:after="0" w:line="276" w:lineRule="auto"/>
        <w:textAlignment w:val="center"/>
        <w:rPr>
          <w:rFonts w:eastAsia="Times New Roman" w:cs="Arial"/>
          <w:i/>
          <w:iCs/>
          <w:sz w:val="22"/>
          <w:lang w:eastAsia="en-AU"/>
        </w:rPr>
      </w:pPr>
      <w:r w:rsidRPr="00112DA7">
        <w:rPr>
          <w:rFonts w:eastAsia="Times New Roman" w:cs="Arial"/>
          <w:sz w:val="22"/>
          <w:lang w:eastAsia="en-AU"/>
        </w:rPr>
        <w:t>H</w:t>
      </w:r>
      <w:r w:rsidR="00924265" w:rsidRPr="00112DA7">
        <w:rPr>
          <w:rFonts w:eastAsia="Times New Roman" w:cs="Arial"/>
          <w:sz w:val="22"/>
          <w:lang w:eastAsia="en-AU"/>
        </w:rPr>
        <w:t>ave cl</w:t>
      </w:r>
      <w:r w:rsidR="00923013" w:rsidRPr="00112DA7">
        <w:rPr>
          <w:rFonts w:eastAsia="Times New Roman" w:cs="Arial"/>
          <w:sz w:val="22"/>
          <w:lang w:eastAsia="en-AU"/>
        </w:rPr>
        <w:t>ear and precise</w:t>
      </w:r>
      <w:r w:rsidR="00924265" w:rsidRPr="00112DA7">
        <w:rPr>
          <w:rFonts w:eastAsia="Times New Roman" w:cs="Arial"/>
          <w:sz w:val="22"/>
          <w:lang w:eastAsia="en-AU"/>
        </w:rPr>
        <w:t xml:space="preserve"> meaning. Council members were completely uncertain as to what was meant by</w:t>
      </w:r>
      <w:r w:rsidR="005D110A" w:rsidRPr="00112DA7">
        <w:rPr>
          <w:rFonts w:eastAsia="Times New Roman" w:cs="Arial"/>
          <w:sz w:val="22"/>
          <w:lang w:eastAsia="en-AU"/>
        </w:rPr>
        <w:t>:</w:t>
      </w:r>
      <w:r w:rsidR="00924265" w:rsidRPr="00112DA7">
        <w:rPr>
          <w:rFonts w:eastAsia="Times New Roman" w:cs="Arial"/>
          <w:sz w:val="22"/>
          <w:lang w:eastAsia="en-AU"/>
        </w:rPr>
        <w:t xml:space="preserve"> </w:t>
      </w:r>
      <w:r w:rsidRPr="00112DA7">
        <w:rPr>
          <w:rFonts w:eastAsia="Times New Roman" w:cs="Arial"/>
          <w:sz w:val="22"/>
          <w:lang w:eastAsia="en-AU"/>
        </w:rPr>
        <w:t>‘</w:t>
      </w:r>
      <w:r w:rsidR="00924265" w:rsidRPr="00112DA7">
        <w:rPr>
          <w:rFonts w:eastAsia="Times New Roman" w:cs="Arial"/>
          <w:i/>
          <w:iCs/>
          <w:sz w:val="22"/>
          <w:lang w:eastAsia="en-AU"/>
        </w:rPr>
        <w:t>I have access to communications and information networks</w:t>
      </w:r>
      <w:r w:rsidRPr="00112DA7">
        <w:rPr>
          <w:rFonts w:eastAsia="Times New Roman" w:cs="Arial"/>
          <w:i/>
          <w:iCs/>
          <w:sz w:val="22"/>
          <w:lang w:eastAsia="en-AU"/>
        </w:rPr>
        <w:t>’</w:t>
      </w:r>
      <w:r w:rsidR="00924265" w:rsidRPr="00112DA7">
        <w:rPr>
          <w:rFonts w:eastAsia="Times New Roman" w:cs="Arial"/>
          <w:sz w:val="22"/>
          <w:lang w:eastAsia="en-AU"/>
        </w:rPr>
        <w:t xml:space="preserve"> </w:t>
      </w:r>
    </w:p>
    <w:p w14:paraId="4C111A19" w14:textId="72269175" w:rsidR="00924265" w:rsidRPr="00112DA7" w:rsidRDefault="00BC178A" w:rsidP="0098560F">
      <w:pPr>
        <w:pStyle w:val="ListParagraph"/>
        <w:numPr>
          <w:ilvl w:val="0"/>
          <w:numId w:val="16"/>
        </w:numPr>
        <w:spacing w:before="200" w:after="0" w:line="276" w:lineRule="auto"/>
        <w:textAlignment w:val="center"/>
        <w:rPr>
          <w:rFonts w:eastAsia="Times New Roman" w:cs="Arial"/>
          <w:i/>
          <w:iCs/>
          <w:sz w:val="22"/>
          <w:lang w:eastAsia="en-AU"/>
        </w:rPr>
      </w:pPr>
      <w:r w:rsidRPr="00112DA7">
        <w:rPr>
          <w:rFonts w:eastAsia="Times New Roman" w:cs="Arial"/>
          <w:sz w:val="22"/>
          <w:lang w:eastAsia="en-AU"/>
        </w:rPr>
        <w:t>A</w:t>
      </w:r>
      <w:r w:rsidR="00923013" w:rsidRPr="00112DA7">
        <w:rPr>
          <w:rFonts w:eastAsia="Times New Roman" w:cs="Arial"/>
          <w:sz w:val="22"/>
          <w:lang w:eastAsia="en-AU"/>
        </w:rPr>
        <w:t xml:space="preserve">re specific: </w:t>
      </w:r>
      <w:r w:rsidRPr="00112DA7">
        <w:rPr>
          <w:rFonts w:eastAsia="Times New Roman" w:cs="Arial"/>
          <w:sz w:val="22"/>
          <w:lang w:eastAsia="en-AU"/>
        </w:rPr>
        <w:t>‘</w:t>
      </w:r>
      <w:r w:rsidR="00924265" w:rsidRPr="00112DA7">
        <w:rPr>
          <w:rFonts w:eastAsia="Times New Roman" w:cs="Arial"/>
          <w:i/>
          <w:iCs/>
          <w:sz w:val="22"/>
          <w:lang w:eastAsia="en-AU"/>
        </w:rPr>
        <w:t>I have supportive relationships</w:t>
      </w:r>
      <w:r w:rsidRPr="00112DA7">
        <w:rPr>
          <w:rFonts w:eastAsia="Times New Roman" w:cs="Arial"/>
          <w:i/>
          <w:iCs/>
          <w:sz w:val="22"/>
          <w:lang w:eastAsia="en-AU"/>
        </w:rPr>
        <w:t>’</w:t>
      </w:r>
      <w:r w:rsidR="00924265" w:rsidRPr="00112DA7">
        <w:rPr>
          <w:rFonts w:eastAsia="Times New Roman" w:cs="Arial"/>
          <w:sz w:val="22"/>
          <w:lang w:eastAsia="en-AU"/>
        </w:rPr>
        <w:t xml:space="preserve"> would be better measured as </w:t>
      </w:r>
      <w:r w:rsidRPr="00112DA7">
        <w:rPr>
          <w:rFonts w:eastAsia="Times New Roman" w:cs="Arial"/>
          <w:i/>
          <w:sz w:val="22"/>
          <w:lang w:eastAsia="en-AU"/>
        </w:rPr>
        <w:t>‘</w:t>
      </w:r>
      <w:r w:rsidR="00923013" w:rsidRPr="00112DA7">
        <w:rPr>
          <w:rFonts w:eastAsia="Times New Roman" w:cs="Arial"/>
          <w:i/>
          <w:sz w:val="22"/>
          <w:lang w:eastAsia="en-AU"/>
        </w:rPr>
        <w:t xml:space="preserve">I have someone to call on for practical assistance / I have someone to call on for emotional assistance </w:t>
      </w:r>
      <w:r w:rsidRPr="00112DA7">
        <w:rPr>
          <w:rFonts w:eastAsia="Times New Roman" w:cs="Arial"/>
          <w:i/>
          <w:sz w:val="22"/>
          <w:lang w:eastAsia="en-AU"/>
        </w:rPr>
        <w:t>/</w:t>
      </w:r>
      <w:r w:rsidR="00923013" w:rsidRPr="00112DA7">
        <w:rPr>
          <w:rFonts w:eastAsia="Times New Roman" w:cs="Arial"/>
          <w:i/>
          <w:sz w:val="22"/>
          <w:lang w:eastAsia="en-AU"/>
        </w:rPr>
        <w:t xml:space="preserve"> I have someone to call on in a crisis</w:t>
      </w:r>
      <w:r w:rsidRPr="00112DA7">
        <w:rPr>
          <w:rFonts w:eastAsia="Times New Roman" w:cs="Arial"/>
          <w:i/>
          <w:sz w:val="22"/>
          <w:lang w:eastAsia="en-AU"/>
        </w:rPr>
        <w:t>’</w:t>
      </w:r>
    </w:p>
    <w:p w14:paraId="4723181C" w14:textId="4622EBF9" w:rsidR="00CD4B33"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D</w:t>
      </w:r>
      <w:r w:rsidR="00C642A2" w:rsidRPr="00112DA7">
        <w:rPr>
          <w:rFonts w:eastAsia="Times New Roman" w:cs="Arial"/>
          <w:sz w:val="22"/>
          <w:lang w:eastAsia="en-AU"/>
        </w:rPr>
        <w:t>escribes elements</w:t>
      </w:r>
      <w:r w:rsidR="00CD4B33" w:rsidRPr="00112DA7">
        <w:rPr>
          <w:rFonts w:eastAsia="Times New Roman" w:cs="Arial"/>
          <w:sz w:val="22"/>
          <w:lang w:eastAsia="en-AU"/>
        </w:rPr>
        <w:t xml:space="preserve"> that make its measurement clear – ‘</w:t>
      </w:r>
      <w:r w:rsidR="00CD4B33" w:rsidRPr="00112DA7">
        <w:rPr>
          <w:rFonts w:eastAsia="Times New Roman" w:cs="Arial"/>
          <w:i/>
          <w:iCs/>
          <w:sz w:val="22"/>
          <w:lang w:eastAsia="en-AU"/>
        </w:rPr>
        <w:t xml:space="preserve">well-designed communities’ </w:t>
      </w:r>
      <w:r w:rsidR="00CD4B33" w:rsidRPr="00112DA7">
        <w:rPr>
          <w:rFonts w:eastAsia="Times New Roman" w:cs="Arial"/>
          <w:sz w:val="22"/>
          <w:lang w:eastAsia="en-AU"/>
        </w:rPr>
        <w:t xml:space="preserve">is abstract and subject to very different interpretation.  </w:t>
      </w:r>
      <w:r w:rsidRPr="00112DA7">
        <w:rPr>
          <w:rFonts w:eastAsia="Times New Roman" w:cs="Arial"/>
          <w:sz w:val="22"/>
          <w:lang w:eastAsia="en-AU"/>
        </w:rPr>
        <w:t>‘</w:t>
      </w:r>
      <w:r w:rsidR="00CD4B33" w:rsidRPr="00112DA7">
        <w:rPr>
          <w:rFonts w:eastAsia="Times New Roman" w:cs="Arial"/>
          <w:i/>
          <w:iCs/>
          <w:sz w:val="22"/>
          <w:lang w:eastAsia="en-AU"/>
        </w:rPr>
        <w:t xml:space="preserve">I live in a community in which </w:t>
      </w:r>
      <w:r w:rsidR="00924265" w:rsidRPr="00112DA7">
        <w:rPr>
          <w:rFonts w:eastAsia="Times New Roman" w:cs="Arial"/>
          <w:i/>
          <w:iCs/>
          <w:sz w:val="22"/>
          <w:lang w:eastAsia="en-AU"/>
        </w:rPr>
        <w:t>I can visit everywhere I want to</w:t>
      </w:r>
      <w:r w:rsidRPr="00112DA7">
        <w:rPr>
          <w:rFonts w:eastAsia="Times New Roman" w:cs="Arial"/>
          <w:i/>
          <w:iCs/>
          <w:sz w:val="22"/>
          <w:lang w:eastAsia="en-AU"/>
        </w:rPr>
        <w:t>’</w:t>
      </w:r>
      <w:r w:rsidR="00C642A2" w:rsidRPr="00112DA7">
        <w:rPr>
          <w:rFonts w:eastAsia="Times New Roman" w:cs="Arial"/>
          <w:sz w:val="22"/>
          <w:lang w:eastAsia="en-AU"/>
        </w:rPr>
        <w:t xml:space="preserve"> is a specific question a respondent can answer</w:t>
      </w:r>
    </w:p>
    <w:p w14:paraId="2860BAA6" w14:textId="02E82966" w:rsidR="003B7987"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A</w:t>
      </w:r>
      <w:r w:rsidR="003B7987" w:rsidRPr="00112DA7">
        <w:rPr>
          <w:rFonts w:eastAsia="Times New Roman" w:cs="Arial"/>
          <w:sz w:val="22"/>
          <w:lang w:eastAsia="en-AU"/>
        </w:rPr>
        <w:t>re responsive to variations across the lifespan</w:t>
      </w:r>
      <w:r w:rsidR="005D110A" w:rsidRPr="00112DA7">
        <w:rPr>
          <w:rFonts w:eastAsia="Times New Roman" w:cs="Arial"/>
          <w:sz w:val="22"/>
          <w:lang w:eastAsia="en-AU"/>
        </w:rPr>
        <w:t>.</w:t>
      </w:r>
    </w:p>
    <w:p w14:paraId="21E528EE" w14:textId="3DC09AED" w:rsidR="00923013" w:rsidRPr="00112DA7" w:rsidRDefault="005D110A" w:rsidP="0098560F">
      <w:pPr>
        <w:spacing w:before="200" w:after="0"/>
        <w:textAlignment w:val="center"/>
        <w:rPr>
          <w:rFonts w:eastAsia="Times New Roman" w:cs="Arial"/>
          <w:lang w:eastAsia="en-AU"/>
        </w:rPr>
      </w:pPr>
      <w:r w:rsidRPr="00112DA7">
        <w:rPr>
          <w:rFonts w:eastAsia="Times New Roman" w:cs="Arial"/>
          <w:lang w:eastAsia="en-AU"/>
        </w:rPr>
        <w:t>Council recommend</w:t>
      </w:r>
      <w:r w:rsidR="00BC178A" w:rsidRPr="00112DA7">
        <w:rPr>
          <w:rFonts w:eastAsia="Times New Roman" w:cs="Arial"/>
          <w:lang w:eastAsia="en-AU"/>
        </w:rPr>
        <w:t>s</w:t>
      </w:r>
      <w:r w:rsidRPr="00112DA7">
        <w:rPr>
          <w:rFonts w:eastAsia="Times New Roman" w:cs="Arial"/>
          <w:lang w:eastAsia="en-AU"/>
        </w:rPr>
        <w:t xml:space="preserve"> that i</w:t>
      </w:r>
      <w:r w:rsidR="003C6EC8" w:rsidRPr="00112DA7">
        <w:rPr>
          <w:rFonts w:eastAsia="Times New Roman" w:cs="Arial"/>
          <w:lang w:eastAsia="en-AU"/>
        </w:rPr>
        <w:t xml:space="preserve">ndicators </w:t>
      </w:r>
      <w:r w:rsidRPr="00112DA7">
        <w:rPr>
          <w:rFonts w:eastAsia="Times New Roman" w:cs="Arial"/>
          <w:lang w:eastAsia="en-AU"/>
        </w:rPr>
        <w:t>are:</w:t>
      </w:r>
    </w:p>
    <w:p w14:paraId="6F5FF5E5" w14:textId="6A3F87C1" w:rsidR="003C6EC8" w:rsidRPr="00112DA7" w:rsidRDefault="00BC178A" w:rsidP="0098560F">
      <w:pPr>
        <w:pStyle w:val="ListParagraph"/>
        <w:numPr>
          <w:ilvl w:val="0"/>
          <w:numId w:val="17"/>
        </w:numPr>
        <w:spacing w:before="200" w:after="0" w:line="276" w:lineRule="auto"/>
        <w:textAlignment w:val="center"/>
        <w:rPr>
          <w:rFonts w:eastAsia="Times New Roman" w:cs="Arial"/>
          <w:i/>
          <w:iCs/>
          <w:sz w:val="22"/>
          <w:lang w:eastAsia="en-AU"/>
        </w:rPr>
      </w:pPr>
      <w:r w:rsidRPr="00112DA7">
        <w:rPr>
          <w:rFonts w:eastAsia="Times New Roman" w:cs="Arial"/>
          <w:sz w:val="22"/>
          <w:lang w:eastAsia="en-AU"/>
        </w:rPr>
        <w:t>B</w:t>
      </w:r>
      <w:r w:rsidR="003C6EC8" w:rsidRPr="00112DA7">
        <w:rPr>
          <w:rFonts w:eastAsia="Times New Roman" w:cs="Arial"/>
          <w:sz w:val="22"/>
          <w:lang w:eastAsia="en-AU"/>
        </w:rPr>
        <w:t>ehavioural, e.g.</w:t>
      </w:r>
      <w:r w:rsidR="005D110A" w:rsidRPr="00112DA7">
        <w:rPr>
          <w:rFonts w:eastAsia="Times New Roman" w:cs="Arial"/>
          <w:sz w:val="22"/>
          <w:lang w:eastAsia="en-AU"/>
        </w:rPr>
        <w:t>,</w:t>
      </w:r>
      <w:r w:rsidR="003C6EC8" w:rsidRPr="00112DA7">
        <w:rPr>
          <w:rFonts w:eastAsia="Times New Roman" w:cs="Arial"/>
          <w:sz w:val="22"/>
          <w:lang w:eastAsia="en-AU"/>
        </w:rPr>
        <w:t xml:space="preserve"> </w:t>
      </w:r>
      <w:r w:rsidRPr="00112DA7">
        <w:rPr>
          <w:rFonts w:eastAsia="Times New Roman" w:cs="Arial"/>
          <w:sz w:val="22"/>
          <w:lang w:eastAsia="en-AU"/>
        </w:rPr>
        <w:t>‘</w:t>
      </w:r>
      <w:r w:rsidR="005D110A" w:rsidRPr="00112DA7">
        <w:rPr>
          <w:rFonts w:eastAsia="Times New Roman" w:cs="Arial"/>
          <w:i/>
          <w:iCs/>
          <w:sz w:val="22"/>
          <w:lang w:eastAsia="en-AU"/>
        </w:rPr>
        <w:t xml:space="preserve">I </w:t>
      </w:r>
      <w:r w:rsidR="003C6EC8" w:rsidRPr="00112DA7">
        <w:rPr>
          <w:rFonts w:eastAsia="Times New Roman" w:cs="Arial"/>
          <w:i/>
          <w:iCs/>
          <w:sz w:val="22"/>
          <w:lang w:eastAsia="en-AU"/>
        </w:rPr>
        <w:t>vote</w:t>
      </w:r>
      <w:r w:rsidRPr="00112DA7">
        <w:rPr>
          <w:rFonts w:eastAsia="Times New Roman" w:cs="Arial"/>
          <w:i/>
          <w:iCs/>
          <w:sz w:val="22"/>
          <w:lang w:eastAsia="en-AU"/>
        </w:rPr>
        <w:t>’</w:t>
      </w:r>
      <w:r w:rsidR="003C6EC8" w:rsidRPr="00112DA7">
        <w:rPr>
          <w:rFonts w:eastAsia="Times New Roman" w:cs="Arial"/>
          <w:sz w:val="22"/>
          <w:lang w:eastAsia="en-AU"/>
        </w:rPr>
        <w:t xml:space="preserve">, rather than </w:t>
      </w:r>
      <w:r w:rsidRPr="00112DA7">
        <w:rPr>
          <w:rFonts w:eastAsia="Times New Roman" w:cs="Arial"/>
          <w:sz w:val="22"/>
          <w:lang w:eastAsia="en-AU"/>
        </w:rPr>
        <w:t>‘</w:t>
      </w:r>
      <w:r w:rsidR="005D110A" w:rsidRPr="00112DA7">
        <w:rPr>
          <w:rFonts w:eastAsia="Times New Roman" w:cs="Arial"/>
          <w:i/>
          <w:iCs/>
          <w:sz w:val="22"/>
          <w:lang w:eastAsia="en-AU"/>
        </w:rPr>
        <w:t xml:space="preserve">I </w:t>
      </w:r>
      <w:r w:rsidR="003C6EC8" w:rsidRPr="00112DA7">
        <w:rPr>
          <w:rFonts w:eastAsia="Times New Roman" w:cs="Arial"/>
          <w:i/>
          <w:iCs/>
          <w:sz w:val="22"/>
          <w:lang w:eastAsia="en-AU"/>
        </w:rPr>
        <w:t>participate in civil and political life</w:t>
      </w:r>
      <w:r w:rsidRPr="00112DA7">
        <w:rPr>
          <w:rFonts w:eastAsia="Times New Roman" w:cs="Arial"/>
          <w:i/>
          <w:iCs/>
          <w:sz w:val="22"/>
          <w:lang w:eastAsia="en-AU"/>
        </w:rPr>
        <w:t>’</w:t>
      </w:r>
    </w:p>
    <w:p w14:paraId="4F693E50" w14:textId="4C5C597D" w:rsidR="00923013" w:rsidRPr="00112DA7" w:rsidRDefault="00BC178A" w:rsidP="0098560F">
      <w:pPr>
        <w:pStyle w:val="ListParagraph"/>
        <w:numPr>
          <w:ilvl w:val="0"/>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Are open to</w:t>
      </w:r>
      <w:r w:rsidR="00923013" w:rsidRPr="00112DA7">
        <w:rPr>
          <w:rFonts w:eastAsia="Times New Roman" w:cs="Arial"/>
          <w:sz w:val="22"/>
          <w:lang w:eastAsia="en-AU"/>
        </w:rPr>
        <w:t xml:space="preserve"> non-binary response</w:t>
      </w:r>
      <w:r w:rsidR="005D110A" w:rsidRPr="00112DA7">
        <w:rPr>
          <w:rFonts w:eastAsia="Times New Roman" w:cs="Arial"/>
          <w:sz w:val="22"/>
          <w:lang w:eastAsia="en-AU"/>
        </w:rPr>
        <w:t>s</w:t>
      </w:r>
      <w:r w:rsidR="00923013" w:rsidRPr="00112DA7">
        <w:rPr>
          <w:rFonts w:eastAsia="Times New Roman" w:cs="Arial"/>
          <w:sz w:val="22"/>
          <w:lang w:eastAsia="en-AU"/>
        </w:rPr>
        <w:t xml:space="preserve"> </w:t>
      </w:r>
    </w:p>
    <w:p w14:paraId="1388611A" w14:textId="7198E1B1" w:rsidR="00923013" w:rsidRPr="00112DA7" w:rsidRDefault="003B7987" w:rsidP="0098560F">
      <w:pPr>
        <w:pStyle w:val="ListParagraph"/>
        <w:numPr>
          <w:ilvl w:val="1"/>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t>e.g.,</w:t>
      </w:r>
      <w:r w:rsidR="00923013" w:rsidRPr="00112DA7">
        <w:rPr>
          <w:rFonts w:eastAsia="Times New Roman" w:cs="Arial"/>
          <w:sz w:val="22"/>
          <w:lang w:eastAsia="en-AU"/>
        </w:rPr>
        <w:t xml:space="preserve"> </w:t>
      </w:r>
      <w:r w:rsidR="00923013" w:rsidRPr="00112DA7">
        <w:rPr>
          <w:rFonts w:eastAsia="Times New Roman" w:cs="Arial"/>
          <w:i/>
          <w:iCs/>
          <w:sz w:val="22"/>
          <w:lang w:eastAsia="en-AU"/>
        </w:rPr>
        <w:t>I work</w:t>
      </w:r>
      <w:r w:rsidR="00C642A2" w:rsidRPr="00112DA7">
        <w:rPr>
          <w:rFonts w:eastAsia="Times New Roman" w:cs="Arial"/>
          <w:i/>
          <w:iCs/>
          <w:sz w:val="22"/>
          <w:lang w:eastAsia="en-AU"/>
        </w:rPr>
        <w:t xml:space="preserve"> - </w:t>
      </w:r>
      <w:r w:rsidR="00923013" w:rsidRPr="00112DA7">
        <w:rPr>
          <w:rFonts w:eastAsia="Times New Roman" w:cs="Arial"/>
          <w:i/>
          <w:iCs/>
          <w:sz w:val="22"/>
          <w:lang w:eastAsia="en-AU"/>
        </w:rPr>
        <w:t>yes /no / as much as I want / as much as my peers</w:t>
      </w:r>
    </w:p>
    <w:p w14:paraId="7201D458" w14:textId="77777777" w:rsidR="00923013" w:rsidRPr="00112DA7" w:rsidRDefault="005D110A" w:rsidP="0098560F">
      <w:pPr>
        <w:pStyle w:val="ListParagraph"/>
        <w:numPr>
          <w:ilvl w:val="1"/>
          <w:numId w:val="16"/>
        </w:numPr>
        <w:spacing w:before="200" w:after="0" w:line="276" w:lineRule="auto"/>
        <w:textAlignment w:val="center"/>
        <w:rPr>
          <w:rFonts w:eastAsia="Times New Roman" w:cs="Arial"/>
          <w:sz w:val="22"/>
          <w:lang w:eastAsia="en-AU"/>
        </w:rPr>
      </w:pPr>
      <w:r w:rsidRPr="00112DA7">
        <w:rPr>
          <w:rFonts w:eastAsia="Times New Roman" w:cs="Arial"/>
          <w:sz w:val="22"/>
          <w:lang w:eastAsia="en-AU"/>
        </w:rPr>
        <w:lastRenderedPageBreak/>
        <w:t xml:space="preserve">include </w:t>
      </w:r>
      <w:r w:rsidR="00923013" w:rsidRPr="00112DA7">
        <w:rPr>
          <w:rFonts w:eastAsia="Times New Roman" w:cs="Arial"/>
          <w:sz w:val="22"/>
          <w:lang w:eastAsia="en-AU"/>
        </w:rPr>
        <w:t xml:space="preserve">barriers to working more: </w:t>
      </w:r>
    </w:p>
    <w:p w14:paraId="4B3C331F" w14:textId="77777777" w:rsidR="00923013" w:rsidRPr="00112DA7" w:rsidRDefault="00923013" w:rsidP="0098560F">
      <w:pPr>
        <w:pStyle w:val="ListParagraph"/>
        <w:numPr>
          <w:ilvl w:val="2"/>
          <w:numId w:val="16"/>
        </w:numPr>
        <w:spacing w:before="200" w:after="0" w:line="276" w:lineRule="auto"/>
        <w:textAlignment w:val="center"/>
        <w:rPr>
          <w:rFonts w:eastAsia="Times New Roman" w:cs="Arial"/>
          <w:i/>
          <w:iCs/>
          <w:sz w:val="22"/>
          <w:lang w:eastAsia="en-AU"/>
        </w:rPr>
      </w:pPr>
      <w:r w:rsidRPr="00112DA7">
        <w:rPr>
          <w:rFonts w:eastAsia="Times New Roman" w:cs="Arial"/>
          <w:sz w:val="22"/>
          <w:lang w:eastAsia="en-AU"/>
        </w:rPr>
        <w:t>factors associated with self</w:t>
      </w:r>
      <w:r w:rsidR="003B7987" w:rsidRPr="00112DA7">
        <w:rPr>
          <w:rFonts w:eastAsia="Times New Roman" w:cs="Arial"/>
          <w:sz w:val="22"/>
          <w:lang w:eastAsia="en-AU"/>
        </w:rPr>
        <w:t>:</w:t>
      </w:r>
      <w:r w:rsidRPr="00112DA7">
        <w:rPr>
          <w:rFonts w:eastAsia="Times New Roman" w:cs="Arial"/>
          <w:sz w:val="22"/>
          <w:lang w:eastAsia="en-AU"/>
        </w:rPr>
        <w:t xml:space="preserve"> </w:t>
      </w:r>
      <w:r w:rsidR="00D45386" w:rsidRPr="00112DA7">
        <w:rPr>
          <w:rFonts w:eastAsia="Times New Roman" w:cs="Arial"/>
          <w:i/>
          <w:iCs/>
          <w:sz w:val="22"/>
          <w:lang w:eastAsia="en-AU"/>
        </w:rPr>
        <w:t>I am unable to work as much as I want due to my health</w:t>
      </w:r>
    </w:p>
    <w:p w14:paraId="5F820F8A" w14:textId="77777777" w:rsidR="00E06A1D" w:rsidRPr="00112DA7" w:rsidRDefault="00923013" w:rsidP="0098560F">
      <w:pPr>
        <w:pStyle w:val="ListParagraph"/>
        <w:numPr>
          <w:ilvl w:val="2"/>
          <w:numId w:val="16"/>
        </w:numPr>
        <w:spacing w:before="200" w:after="0" w:line="276" w:lineRule="auto"/>
        <w:textAlignment w:val="center"/>
        <w:rPr>
          <w:rFonts w:eastAsia="Times New Roman" w:cs="Arial"/>
          <w:sz w:val="22"/>
          <w:lang w:eastAsia="en-AU"/>
        </w:rPr>
      </w:pPr>
      <w:proofErr w:type="gramStart"/>
      <w:r w:rsidRPr="00112DA7">
        <w:rPr>
          <w:rFonts w:eastAsia="Times New Roman" w:cs="Arial"/>
          <w:sz w:val="22"/>
          <w:lang w:eastAsia="en-AU"/>
        </w:rPr>
        <w:t>other</w:t>
      </w:r>
      <w:proofErr w:type="gramEnd"/>
      <w:r w:rsidRPr="00112DA7">
        <w:rPr>
          <w:rFonts w:eastAsia="Times New Roman" w:cs="Arial"/>
          <w:sz w:val="22"/>
          <w:lang w:eastAsia="en-AU"/>
        </w:rPr>
        <w:t xml:space="preserve"> factors: attitudinal /</w:t>
      </w:r>
      <w:r w:rsidR="003B7987" w:rsidRPr="00112DA7">
        <w:rPr>
          <w:rFonts w:eastAsia="Times New Roman" w:cs="Arial"/>
          <w:sz w:val="22"/>
          <w:lang w:eastAsia="en-AU"/>
        </w:rPr>
        <w:t xml:space="preserve"> lack of support in the workplace / availability of childcare</w:t>
      </w:r>
      <w:r w:rsidR="00D45386" w:rsidRPr="00112DA7">
        <w:rPr>
          <w:rFonts w:eastAsia="Times New Roman" w:cs="Arial"/>
          <w:sz w:val="22"/>
          <w:lang w:eastAsia="en-AU"/>
        </w:rPr>
        <w:t>, etc.</w:t>
      </w:r>
    </w:p>
    <w:p w14:paraId="1B9B14D3" w14:textId="77777777" w:rsidR="00B97FAE" w:rsidRPr="0098560F" w:rsidRDefault="00B97FAE" w:rsidP="0098560F">
      <w:pPr>
        <w:pStyle w:val="Heading1"/>
        <w:spacing w:before="200"/>
        <w:rPr>
          <w:rFonts w:cs="Arial"/>
          <w:sz w:val="28"/>
        </w:rPr>
      </w:pPr>
      <w:bookmarkStart w:id="7" w:name="_Toc58311328"/>
      <w:bookmarkStart w:id="8" w:name="_Toc59113118"/>
      <w:r w:rsidRPr="0098560F">
        <w:rPr>
          <w:rFonts w:cs="Arial"/>
          <w:sz w:val="28"/>
        </w:rPr>
        <w:t>Social and accessible communities</w:t>
      </w:r>
      <w:bookmarkEnd w:id="7"/>
      <w:bookmarkEnd w:id="8"/>
    </w:p>
    <w:p w14:paraId="277AA783" w14:textId="77777777" w:rsidR="002C44D4" w:rsidRPr="0098560F" w:rsidRDefault="002C44D4" w:rsidP="0098560F">
      <w:pPr>
        <w:pStyle w:val="Heading2"/>
        <w:spacing w:after="0"/>
        <w:rPr>
          <w:rFonts w:eastAsia="Times" w:cs="Arial"/>
          <w:sz w:val="24"/>
        </w:rPr>
      </w:pPr>
      <w:bookmarkStart w:id="9" w:name="_Toc58311329"/>
      <w:bookmarkStart w:id="10" w:name="_Toc59113119"/>
      <w:r w:rsidRPr="0098560F">
        <w:rPr>
          <w:rFonts w:eastAsia="Times" w:cs="Arial"/>
          <w:sz w:val="24"/>
        </w:rPr>
        <w:t>Background</w:t>
      </w:r>
      <w:bookmarkEnd w:id="9"/>
      <w:bookmarkEnd w:id="10"/>
    </w:p>
    <w:p w14:paraId="277923A9" w14:textId="6AF6F923" w:rsidR="002C44D4" w:rsidRPr="00112DA7" w:rsidRDefault="002C44D4" w:rsidP="0098560F">
      <w:pPr>
        <w:spacing w:before="200" w:after="0"/>
        <w:rPr>
          <w:rFonts w:cs="Arial"/>
        </w:rPr>
      </w:pPr>
      <w:r w:rsidRPr="00112DA7">
        <w:rPr>
          <w:rFonts w:cs="Arial"/>
        </w:rPr>
        <w:t xml:space="preserve">Housing </w:t>
      </w:r>
      <w:r w:rsidR="00BC178A" w:rsidRPr="00112DA7">
        <w:rPr>
          <w:rFonts w:cs="Arial"/>
        </w:rPr>
        <w:t>is</w:t>
      </w:r>
      <w:r w:rsidRPr="00112DA7">
        <w:rPr>
          <w:rFonts w:cs="Arial"/>
        </w:rPr>
        <w:t xml:space="preserve"> an issue of particular priority to Council for the next National Disability Strategy. The national crisis in affordable housing makes it very difficult for people with disability to find housing they can afford. These difficulties result from challenges in the private rental market, their lack of priority in social housing, the lack of requirements on developers that would foster more affordable housing and the lack of financing options that could encourage investors and families to contribute to the provision of affordable housing. </w:t>
      </w:r>
    </w:p>
    <w:p w14:paraId="6D59C06A" w14:textId="77777777" w:rsidR="002C44D4" w:rsidRPr="00112DA7" w:rsidRDefault="002C44D4" w:rsidP="0098560F">
      <w:pPr>
        <w:spacing w:before="200" w:after="0"/>
        <w:rPr>
          <w:rFonts w:cs="Arial"/>
        </w:rPr>
      </w:pPr>
      <w:r w:rsidRPr="00112DA7">
        <w:rPr>
          <w:rFonts w:cs="Arial"/>
        </w:rPr>
        <w:t>For people with challenges related to mobility, the constraints are even more significant as a result of the lack of mandatory minimum standards related to accessibility and a lack of action by the housing industry</w:t>
      </w:r>
      <w:r w:rsidR="007F29FE" w:rsidRPr="00112DA7">
        <w:rPr>
          <w:rFonts w:cs="Arial"/>
        </w:rPr>
        <w:t xml:space="preserve"> and governments at all levels</w:t>
      </w:r>
      <w:r w:rsidRPr="00112DA7">
        <w:rPr>
          <w:rFonts w:cs="Arial"/>
        </w:rPr>
        <w:t xml:space="preserve">. </w:t>
      </w:r>
    </w:p>
    <w:p w14:paraId="2737A14A" w14:textId="75D57248" w:rsidR="002C44D4" w:rsidRPr="00112DA7" w:rsidRDefault="002C44D4" w:rsidP="0098560F">
      <w:pPr>
        <w:spacing w:before="200" w:after="0"/>
        <w:rPr>
          <w:rFonts w:cs="Arial"/>
        </w:rPr>
      </w:pPr>
      <w:r w:rsidRPr="00112DA7">
        <w:rPr>
          <w:rFonts w:cs="Arial"/>
        </w:rPr>
        <w:t xml:space="preserve">The lack of accessible affordable housing has profound </w:t>
      </w:r>
      <w:r w:rsidR="007F29FE" w:rsidRPr="00112DA7">
        <w:rPr>
          <w:rFonts w:cs="Arial"/>
        </w:rPr>
        <w:t xml:space="preserve">and compounding </w:t>
      </w:r>
      <w:r w:rsidRPr="00112DA7">
        <w:rPr>
          <w:rFonts w:cs="Arial"/>
        </w:rPr>
        <w:t xml:space="preserve">impacts on people with disability. People enter and remain in inappropriate housing </w:t>
      </w:r>
      <w:r w:rsidR="00BC178A" w:rsidRPr="00112DA7">
        <w:rPr>
          <w:rFonts w:cs="Arial"/>
        </w:rPr>
        <w:t>including residential aged care; t</w:t>
      </w:r>
      <w:r w:rsidRPr="00112DA7">
        <w:rPr>
          <w:rFonts w:cs="Arial"/>
        </w:rPr>
        <w:t>here is a growth in demand for traditional shared living options when people would benefit from less restrictive options</w:t>
      </w:r>
      <w:r w:rsidR="00BC178A" w:rsidRPr="00112DA7">
        <w:rPr>
          <w:rFonts w:cs="Arial"/>
        </w:rPr>
        <w:t>;</w:t>
      </w:r>
      <w:r w:rsidRPr="00112DA7">
        <w:rPr>
          <w:rFonts w:cs="Arial"/>
        </w:rPr>
        <w:t xml:space="preserve"> families and carers remain out of the workforce</w:t>
      </w:r>
      <w:r w:rsidR="00BC178A" w:rsidRPr="00112DA7">
        <w:rPr>
          <w:rFonts w:cs="Arial"/>
        </w:rPr>
        <w:t>;</w:t>
      </w:r>
      <w:r w:rsidRPr="00112DA7">
        <w:rPr>
          <w:rFonts w:cs="Arial"/>
        </w:rPr>
        <w:t xml:space="preserve"> the costs of care and transport increase</w:t>
      </w:r>
      <w:r w:rsidR="00BC178A" w:rsidRPr="00112DA7">
        <w:rPr>
          <w:rFonts w:cs="Arial"/>
        </w:rPr>
        <w:t>;</w:t>
      </w:r>
      <w:r w:rsidRPr="00112DA7">
        <w:rPr>
          <w:rFonts w:cs="Arial"/>
        </w:rPr>
        <w:t xml:space="preserve"> and people miss out </w:t>
      </w:r>
      <w:r w:rsidR="00F47FD0" w:rsidRPr="00112DA7">
        <w:rPr>
          <w:rFonts w:cs="Arial"/>
        </w:rPr>
        <w:t>o</w:t>
      </w:r>
      <w:r w:rsidRPr="00112DA7">
        <w:rPr>
          <w:rFonts w:cs="Arial"/>
        </w:rPr>
        <w:t>n opportunities for work.</w:t>
      </w:r>
    </w:p>
    <w:p w14:paraId="1C335440" w14:textId="77777777" w:rsidR="002C44D4" w:rsidRPr="00112DA7" w:rsidRDefault="002C44D4" w:rsidP="0098560F">
      <w:pPr>
        <w:spacing w:before="200" w:after="0"/>
        <w:rPr>
          <w:rFonts w:cs="Arial"/>
        </w:rPr>
      </w:pPr>
      <w:r w:rsidRPr="00112DA7">
        <w:rPr>
          <w:rFonts w:cs="Arial"/>
        </w:rPr>
        <w:t>Many people with disability are not prioritised for social housing in the context of a national shortage of affordable housing. Many require accessible housing that incorporates design features that are not widely available. The Regulation Impact Statement (</w:t>
      </w:r>
      <w:proofErr w:type="spellStart"/>
      <w:r w:rsidRPr="00112DA7">
        <w:rPr>
          <w:rFonts w:cs="Arial"/>
        </w:rPr>
        <w:t>RIS</w:t>
      </w:r>
      <w:proofErr w:type="spellEnd"/>
      <w:r w:rsidRPr="00112DA7">
        <w:rPr>
          <w:rFonts w:cs="Arial"/>
        </w:rPr>
        <w:t>) for the inclusion of minimum accessibility standards for all housing in the National Construction Code provides a unique opportunity for the Strategy to increase supply of accessible housing and this must be coupled with a reliable way for people requiring accessible housing to identify suitable properties.</w:t>
      </w:r>
    </w:p>
    <w:p w14:paraId="7833CFD9" w14:textId="77777777" w:rsidR="002C44D4" w:rsidRPr="00112DA7" w:rsidRDefault="002C44D4" w:rsidP="0098560F">
      <w:pPr>
        <w:spacing w:before="200" w:after="0"/>
        <w:rPr>
          <w:rFonts w:cs="Arial"/>
        </w:rPr>
      </w:pPr>
      <w:r w:rsidRPr="00112DA7">
        <w:rPr>
          <w:rFonts w:cs="Arial"/>
        </w:rPr>
        <w:t xml:space="preserve">Key actions recommended for the next Strategy include a commitment to significant growth in affordable, accessible housing targeted to people with disability, with all social housing built to </w:t>
      </w:r>
      <w:proofErr w:type="spellStart"/>
      <w:r w:rsidRPr="00112DA7">
        <w:rPr>
          <w:rFonts w:cs="Arial"/>
        </w:rPr>
        <w:t>Livable</w:t>
      </w:r>
      <w:proofErr w:type="spellEnd"/>
      <w:r w:rsidRPr="00112DA7">
        <w:rPr>
          <w:rFonts w:cs="Arial"/>
        </w:rPr>
        <w:t xml:space="preserve"> Housing Design Gold Standard (</w:t>
      </w:r>
      <w:proofErr w:type="spellStart"/>
      <w:r w:rsidRPr="00112DA7">
        <w:rPr>
          <w:rFonts w:cs="Arial"/>
        </w:rPr>
        <w:t>LHDG</w:t>
      </w:r>
      <w:proofErr w:type="spellEnd"/>
      <w:r w:rsidRPr="00112DA7">
        <w:rPr>
          <w:rFonts w:cs="Arial"/>
        </w:rPr>
        <w:t>) and a significant increase in the supply of accessible housing.</w:t>
      </w:r>
    </w:p>
    <w:p w14:paraId="76B9A54D" w14:textId="77777777" w:rsidR="00997835" w:rsidRPr="0098560F" w:rsidRDefault="00997835" w:rsidP="0098560F">
      <w:pPr>
        <w:pStyle w:val="Heading2"/>
        <w:spacing w:after="0"/>
        <w:rPr>
          <w:rFonts w:eastAsia="Times" w:cs="Arial"/>
          <w:sz w:val="24"/>
        </w:rPr>
      </w:pPr>
      <w:bookmarkStart w:id="11" w:name="_Toc58311330"/>
      <w:bookmarkStart w:id="12" w:name="_Toc59113120"/>
      <w:r w:rsidRPr="0098560F">
        <w:rPr>
          <w:rFonts w:eastAsia="Times" w:cs="Arial"/>
          <w:sz w:val="24"/>
        </w:rPr>
        <w:t>Specific commentary</w:t>
      </w:r>
      <w:r w:rsidR="002A20FE" w:rsidRPr="0098560F">
        <w:rPr>
          <w:rFonts w:eastAsia="Times" w:cs="Arial"/>
          <w:sz w:val="24"/>
        </w:rPr>
        <w:t xml:space="preserve"> in relation to outcomes and indicators</w:t>
      </w:r>
      <w:bookmarkEnd w:id="11"/>
      <w:bookmarkEnd w:id="12"/>
    </w:p>
    <w:p w14:paraId="4B076359" w14:textId="77777777" w:rsidR="00547A88" w:rsidRPr="00112DA7" w:rsidRDefault="00EE3D54" w:rsidP="0098560F">
      <w:pPr>
        <w:spacing w:before="200" w:after="0"/>
        <w:textAlignment w:val="center"/>
        <w:rPr>
          <w:rFonts w:eastAsia="Times New Roman" w:cs="Arial"/>
          <w:lang w:eastAsia="en-AU"/>
        </w:rPr>
      </w:pPr>
      <w:r w:rsidRPr="00112DA7">
        <w:rPr>
          <w:rFonts w:eastAsia="Times New Roman" w:cs="Arial"/>
          <w:lang w:eastAsia="en-AU"/>
        </w:rPr>
        <w:t xml:space="preserve">The general commentary above provides feedback on terms such as </w:t>
      </w:r>
      <w:r w:rsidRPr="00112DA7">
        <w:rPr>
          <w:rFonts w:eastAsia="Times New Roman" w:cs="Arial"/>
          <w:i/>
          <w:iCs/>
          <w:lang w:eastAsia="en-AU"/>
        </w:rPr>
        <w:t xml:space="preserve">‘well designed communities’, opportunities for full inclusion </w:t>
      </w:r>
      <w:r w:rsidRPr="00112DA7">
        <w:rPr>
          <w:rFonts w:eastAsia="Times New Roman" w:cs="Arial"/>
          <w:lang w:eastAsia="en-AU"/>
        </w:rPr>
        <w:t>and</w:t>
      </w:r>
      <w:r w:rsidRPr="00112DA7">
        <w:rPr>
          <w:rFonts w:eastAsia="Times New Roman" w:cs="Arial"/>
          <w:i/>
          <w:iCs/>
          <w:lang w:eastAsia="en-AU"/>
        </w:rPr>
        <w:t xml:space="preserve"> ‘I can access social and cultural events’.</w:t>
      </w:r>
    </w:p>
    <w:p w14:paraId="757B2838" w14:textId="44D3CA14" w:rsidR="009158E2" w:rsidRPr="00112DA7" w:rsidRDefault="00150CAF" w:rsidP="0098560F">
      <w:pPr>
        <w:spacing w:before="200" w:after="0"/>
        <w:textAlignment w:val="center"/>
        <w:rPr>
          <w:rFonts w:eastAsia="Times New Roman" w:cs="Arial"/>
          <w:lang w:eastAsia="en-AU"/>
        </w:rPr>
      </w:pPr>
      <w:r w:rsidRPr="00112DA7">
        <w:rPr>
          <w:rFonts w:eastAsia="Times New Roman" w:cs="Arial"/>
          <w:lang w:eastAsia="en-AU"/>
        </w:rPr>
        <w:t>Additional o</w:t>
      </w:r>
      <w:r w:rsidR="0007144E" w:rsidRPr="00112DA7">
        <w:rPr>
          <w:rFonts w:eastAsia="Times New Roman" w:cs="Arial"/>
          <w:lang w:eastAsia="en-AU"/>
        </w:rPr>
        <w:t xml:space="preserve">utcome indicators and performance measures </w:t>
      </w:r>
      <w:r w:rsidRPr="00112DA7">
        <w:rPr>
          <w:rFonts w:eastAsia="Times New Roman" w:cs="Arial"/>
          <w:lang w:eastAsia="en-AU"/>
        </w:rPr>
        <w:t xml:space="preserve">are required in the areas of </w:t>
      </w:r>
      <w:r w:rsidR="0007144E" w:rsidRPr="00112DA7">
        <w:rPr>
          <w:rFonts w:eastAsia="Times New Roman" w:cs="Arial"/>
          <w:lang w:eastAsia="en-AU"/>
        </w:rPr>
        <w:t xml:space="preserve">digital </w:t>
      </w:r>
      <w:r w:rsidRPr="00112DA7">
        <w:rPr>
          <w:rFonts w:eastAsia="Times New Roman" w:cs="Arial"/>
          <w:lang w:eastAsia="en-AU"/>
        </w:rPr>
        <w:t>access and participation in sport (e.g. collected by Sport Australia.</w:t>
      </w:r>
      <w:bookmarkStart w:id="13" w:name="_Toc58311331"/>
      <w:r w:rsidRPr="00112DA7">
        <w:rPr>
          <w:rFonts w:eastAsia="Times New Roman" w:cs="Arial"/>
          <w:lang w:eastAsia="en-AU"/>
        </w:rPr>
        <w:t>)</w:t>
      </w:r>
    </w:p>
    <w:p w14:paraId="1D1F94E4" w14:textId="77777777" w:rsidR="007F385E" w:rsidRPr="0098560F" w:rsidRDefault="007F385E" w:rsidP="0098560F">
      <w:pPr>
        <w:pStyle w:val="Heading1"/>
        <w:spacing w:before="200"/>
        <w:rPr>
          <w:rFonts w:cs="Arial"/>
          <w:sz w:val="28"/>
        </w:rPr>
      </w:pPr>
      <w:bookmarkStart w:id="14" w:name="_Toc59113121"/>
      <w:r w:rsidRPr="0098560F">
        <w:rPr>
          <w:rFonts w:cs="Arial"/>
          <w:sz w:val="28"/>
        </w:rPr>
        <w:lastRenderedPageBreak/>
        <w:t xml:space="preserve">Economic </w:t>
      </w:r>
      <w:r w:rsidR="00EE3D54" w:rsidRPr="0098560F">
        <w:rPr>
          <w:rFonts w:cs="Arial"/>
          <w:sz w:val="28"/>
        </w:rPr>
        <w:t>s</w:t>
      </w:r>
      <w:r w:rsidRPr="0098560F">
        <w:rPr>
          <w:rFonts w:cs="Arial"/>
          <w:sz w:val="28"/>
        </w:rPr>
        <w:t>ecurity</w:t>
      </w:r>
      <w:bookmarkEnd w:id="13"/>
      <w:bookmarkEnd w:id="14"/>
    </w:p>
    <w:p w14:paraId="5F9FC24C" w14:textId="77777777" w:rsidR="00F75063" w:rsidRPr="0098560F" w:rsidRDefault="00F75063" w:rsidP="0098560F">
      <w:pPr>
        <w:pStyle w:val="Heading2"/>
        <w:spacing w:after="0"/>
        <w:rPr>
          <w:rFonts w:eastAsia="Times" w:cs="Arial"/>
          <w:sz w:val="24"/>
        </w:rPr>
      </w:pPr>
      <w:bookmarkStart w:id="15" w:name="_Toc58311332"/>
      <w:bookmarkStart w:id="16" w:name="_Toc59113122"/>
      <w:r w:rsidRPr="0098560F">
        <w:rPr>
          <w:rFonts w:eastAsia="Times" w:cs="Arial"/>
          <w:sz w:val="24"/>
        </w:rPr>
        <w:t>Background</w:t>
      </w:r>
      <w:bookmarkEnd w:id="15"/>
      <w:bookmarkEnd w:id="16"/>
    </w:p>
    <w:p w14:paraId="0EEDC4CA" w14:textId="77777777" w:rsidR="00F75063" w:rsidRPr="0098560F" w:rsidRDefault="00F75063" w:rsidP="0098560F">
      <w:pPr>
        <w:pStyle w:val="Heading3"/>
        <w:spacing w:before="200" w:line="276" w:lineRule="auto"/>
        <w:rPr>
          <w:rFonts w:cs="Arial"/>
          <w:sz w:val="22"/>
        </w:rPr>
      </w:pPr>
      <w:bookmarkStart w:id="17" w:name="_Toc58311333"/>
      <w:r w:rsidRPr="0098560F">
        <w:rPr>
          <w:rFonts w:cs="Arial"/>
          <w:sz w:val="22"/>
        </w:rPr>
        <w:t>Employment</w:t>
      </w:r>
      <w:bookmarkEnd w:id="17"/>
    </w:p>
    <w:p w14:paraId="52A3316E" w14:textId="77777777" w:rsidR="00F75063" w:rsidRPr="00112DA7" w:rsidRDefault="00F75063" w:rsidP="0098560F">
      <w:pPr>
        <w:spacing w:before="200" w:after="0"/>
        <w:rPr>
          <w:rFonts w:cs="Arial"/>
          <w:color w:val="000000" w:themeColor="text1"/>
        </w:rPr>
      </w:pPr>
      <w:r w:rsidRPr="00112DA7">
        <w:rPr>
          <w:rFonts w:cs="Arial"/>
          <w:color w:val="000000" w:themeColor="text1"/>
        </w:rPr>
        <w:t xml:space="preserve">The poor employment rates of people with disability in Australia compared to OECD countries must underscore efforts to improve employment outcomes for people with disability in the next Strategy. </w:t>
      </w:r>
      <w:r w:rsidRPr="00112DA7">
        <w:rPr>
          <w:rFonts w:cs="Arial"/>
        </w:rPr>
        <w:t>Even in the context of the COVID-19 pandemic, it is important to prepare people with disability for work and to improve systems, services and supports to assist people with disability in work, so that a generation of people with disability will not be further disadvantaged. The dangers people experience in closed systems, such as in some Australian Disability Enterprises (</w:t>
      </w:r>
      <w:proofErr w:type="spellStart"/>
      <w:r w:rsidRPr="00112DA7">
        <w:rPr>
          <w:rFonts w:cs="Arial"/>
        </w:rPr>
        <w:t>ADEs</w:t>
      </w:r>
      <w:proofErr w:type="spellEnd"/>
      <w:r w:rsidRPr="00112DA7">
        <w:rPr>
          <w:rFonts w:cs="Arial"/>
        </w:rPr>
        <w:t>), will not diminish and without active intervention the number of people with disability who will be subject to the constraints of closed systems is likely to increase.</w:t>
      </w:r>
    </w:p>
    <w:p w14:paraId="59AC1DB4" w14:textId="5D0AC7F0" w:rsidR="00F75063" w:rsidRPr="00112DA7" w:rsidRDefault="00F75063" w:rsidP="0098560F">
      <w:pPr>
        <w:spacing w:before="200" w:after="0"/>
        <w:rPr>
          <w:rFonts w:cs="Arial"/>
          <w:color w:val="000000" w:themeColor="text1"/>
        </w:rPr>
      </w:pPr>
      <w:r w:rsidRPr="00112DA7">
        <w:rPr>
          <w:rFonts w:cs="Arial"/>
          <w:color w:val="000000" w:themeColor="text1"/>
        </w:rPr>
        <w:t xml:space="preserve">Disability employment programs are poorly designed inhibiting people with disability from getting effective support to find and maintain a job. Challenges lie in the early streaming of school leavers into those deemed able to achieve open employment and those directed </w:t>
      </w:r>
      <w:r w:rsidR="00C203D9" w:rsidRPr="00112DA7">
        <w:rPr>
          <w:rFonts w:cs="Arial"/>
          <w:color w:val="000000" w:themeColor="text1"/>
        </w:rPr>
        <w:t>to</w:t>
      </w:r>
      <w:r w:rsidRPr="00112DA7">
        <w:rPr>
          <w:rFonts w:cs="Arial"/>
          <w:color w:val="000000" w:themeColor="text1"/>
        </w:rPr>
        <w:t xml:space="preserve"> supported employment</w:t>
      </w:r>
      <w:r w:rsidR="00C203D9" w:rsidRPr="00112DA7">
        <w:rPr>
          <w:rFonts w:cs="Arial"/>
          <w:color w:val="000000" w:themeColor="text1"/>
        </w:rPr>
        <w:t>. In addition,</w:t>
      </w:r>
      <w:r w:rsidRPr="00112DA7">
        <w:rPr>
          <w:rFonts w:cs="Arial"/>
          <w:color w:val="000000" w:themeColor="text1"/>
        </w:rPr>
        <w:t xml:space="preserve"> the current program structures that do not support sustained employment and the variable effectiveness of providers.</w:t>
      </w:r>
      <w:r w:rsidR="007F29FE" w:rsidRPr="00112DA7">
        <w:rPr>
          <w:rFonts w:cs="Arial"/>
          <w:color w:val="000000" w:themeColor="text1"/>
        </w:rPr>
        <w:t xml:space="preserve"> </w:t>
      </w:r>
    </w:p>
    <w:p w14:paraId="3AFC6CF0" w14:textId="77777777" w:rsidR="00F75063" w:rsidRPr="00112DA7" w:rsidRDefault="00F75063" w:rsidP="0098560F">
      <w:pPr>
        <w:spacing w:before="200" w:after="0"/>
        <w:rPr>
          <w:rFonts w:cs="Arial"/>
        </w:rPr>
      </w:pPr>
      <w:r w:rsidRPr="00112DA7">
        <w:rPr>
          <w:rFonts w:cs="Arial"/>
        </w:rPr>
        <w:t>Key actions recommended for the next Strategy include the development and implementation of a person-centred system of employment support, designed around the individual with an automatic eligibility for a DES (with adjustments identified in the submission), an approach to enhance the effectiveness of employment providers and incentives to encourage the creation of employment opportunities targeted at people with disability by all governments.</w:t>
      </w:r>
    </w:p>
    <w:p w14:paraId="00EC1845" w14:textId="77777777" w:rsidR="00F75063" w:rsidRPr="00112DA7" w:rsidRDefault="00F75063" w:rsidP="0098560F">
      <w:pPr>
        <w:pStyle w:val="Heading3"/>
        <w:spacing w:before="200" w:line="276" w:lineRule="auto"/>
        <w:rPr>
          <w:rFonts w:cs="Arial"/>
          <w:sz w:val="22"/>
          <w:szCs w:val="22"/>
        </w:rPr>
      </w:pPr>
      <w:bookmarkStart w:id="18" w:name="_Toc58311334"/>
      <w:r w:rsidRPr="00112DA7">
        <w:rPr>
          <w:rFonts w:cs="Arial"/>
          <w:sz w:val="22"/>
          <w:szCs w:val="22"/>
        </w:rPr>
        <w:t>Income support</w:t>
      </w:r>
      <w:bookmarkEnd w:id="18"/>
    </w:p>
    <w:p w14:paraId="7C6BC3D0" w14:textId="77777777" w:rsidR="00F75063" w:rsidRPr="00112DA7" w:rsidRDefault="00F75063" w:rsidP="0098560F">
      <w:pPr>
        <w:spacing w:before="200" w:after="0"/>
        <w:rPr>
          <w:rFonts w:cs="Arial"/>
        </w:rPr>
      </w:pPr>
      <w:r w:rsidRPr="00112DA7">
        <w:rPr>
          <w:rFonts w:cs="Arial"/>
        </w:rPr>
        <w:t xml:space="preserve">Whilst many people with disability are frustrated about relying on the Disability Support Pension (DSP) when they have the ability and readiness to work, for many, the motivation to seek open employment is impeded by their perceived fear of financial insecurity associated with loss of the DSP, including the uncertainty of unskilled employment and the mutual obligation requirements related to the </w:t>
      </w:r>
      <w:proofErr w:type="spellStart"/>
      <w:r w:rsidRPr="00112DA7">
        <w:rPr>
          <w:rFonts w:cs="Arial"/>
        </w:rPr>
        <w:t>Newstart</w:t>
      </w:r>
      <w:proofErr w:type="spellEnd"/>
      <w:r w:rsidRPr="00112DA7">
        <w:rPr>
          <w:rFonts w:cs="Arial"/>
        </w:rPr>
        <w:t xml:space="preserve"> Allowance. This is especially relevant to people with psychosocial disability who have fluctuating capacity to work.</w:t>
      </w:r>
      <w:r w:rsidRPr="00112DA7">
        <w:rPr>
          <w:rFonts w:cs="Arial"/>
          <w:highlight w:val="yellow"/>
        </w:rPr>
        <w:t xml:space="preserve"> </w:t>
      </w:r>
    </w:p>
    <w:p w14:paraId="4D43FDF8" w14:textId="01A51E81" w:rsidR="00F75063" w:rsidRPr="00112DA7" w:rsidRDefault="00F75063" w:rsidP="0098560F">
      <w:pPr>
        <w:pStyle w:val="NormalWeb"/>
        <w:shd w:val="clear" w:color="auto" w:fill="FFFFFF"/>
        <w:spacing w:before="200" w:beforeAutospacing="0" w:after="0" w:afterAutospacing="0" w:line="276" w:lineRule="auto"/>
        <w:rPr>
          <w:rFonts w:ascii="Arial" w:hAnsi="Arial" w:cs="Arial"/>
          <w:bCs/>
          <w:color w:val="000000" w:themeColor="text1"/>
          <w:sz w:val="22"/>
          <w:szCs w:val="22"/>
        </w:rPr>
      </w:pPr>
      <w:r w:rsidRPr="00112DA7">
        <w:rPr>
          <w:rFonts w:ascii="Arial" w:hAnsi="Arial" w:cs="Arial"/>
          <w:sz w:val="22"/>
          <w:szCs w:val="22"/>
        </w:rPr>
        <w:t xml:space="preserve">Disincentive to DSP participants from maximising their workforce participation include requirements to demonstrate </w:t>
      </w:r>
      <w:r w:rsidRPr="00112DA7">
        <w:rPr>
          <w:rFonts w:ascii="Arial" w:hAnsi="Arial" w:cs="Arial"/>
          <w:color w:val="000002"/>
          <w:sz w:val="22"/>
          <w:szCs w:val="22"/>
        </w:rPr>
        <w:t xml:space="preserve">‘continuing inability to work for at least 15 hours a week’ in order to qualify for the DSP, the rate of reduction of DSP for every dollar earned and the suspension of the DSP for participants who work </w:t>
      </w:r>
      <w:r w:rsidRPr="00112DA7">
        <w:rPr>
          <w:rFonts w:ascii="Arial" w:hAnsi="Arial" w:cs="Arial"/>
          <w:sz w:val="22"/>
          <w:szCs w:val="22"/>
        </w:rPr>
        <w:t xml:space="preserve">more than 30 hours a week. </w:t>
      </w:r>
      <w:r w:rsidRPr="00112DA7">
        <w:rPr>
          <w:rFonts w:ascii="Arial" w:hAnsi="Arial" w:cs="Arial"/>
          <w:color w:val="000000" w:themeColor="text1"/>
          <w:sz w:val="22"/>
          <w:szCs w:val="22"/>
        </w:rPr>
        <w:t xml:space="preserve">Scenario testing by the NDIS Actuary demonstrates that </w:t>
      </w:r>
      <w:r w:rsidRPr="00112DA7">
        <w:rPr>
          <w:rFonts w:ascii="Arial" w:hAnsi="Arial" w:cs="Arial"/>
          <w:bCs/>
          <w:color w:val="000000" w:themeColor="text1"/>
          <w:sz w:val="22"/>
          <w:szCs w:val="22"/>
        </w:rPr>
        <w:t>removing some of the DSP-related disincentives to employment is expected to result in a higher net revenue both for NDIS participants and government</w:t>
      </w:r>
      <w:r w:rsidR="007F29FE" w:rsidRPr="00112DA7">
        <w:rPr>
          <w:rFonts w:ascii="Arial" w:hAnsi="Arial" w:cs="Arial"/>
          <w:bCs/>
          <w:color w:val="000000" w:themeColor="text1"/>
          <w:sz w:val="22"/>
          <w:szCs w:val="22"/>
        </w:rPr>
        <w:t xml:space="preserve"> in addition to the obvious other social </w:t>
      </w:r>
      <w:proofErr w:type="gramStart"/>
      <w:r w:rsidR="007F29FE" w:rsidRPr="00112DA7">
        <w:rPr>
          <w:rFonts w:ascii="Arial" w:hAnsi="Arial" w:cs="Arial"/>
          <w:bCs/>
          <w:color w:val="000000" w:themeColor="text1"/>
          <w:sz w:val="22"/>
          <w:szCs w:val="22"/>
        </w:rPr>
        <w:t>outcomes .</w:t>
      </w:r>
      <w:proofErr w:type="gramEnd"/>
      <w:r w:rsidR="007F29FE" w:rsidRPr="00112DA7">
        <w:rPr>
          <w:rFonts w:ascii="Arial" w:hAnsi="Arial" w:cs="Arial"/>
          <w:bCs/>
          <w:color w:val="000000" w:themeColor="text1"/>
          <w:sz w:val="22"/>
          <w:szCs w:val="22"/>
        </w:rPr>
        <w:t xml:space="preserve"> </w:t>
      </w:r>
    </w:p>
    <w:p w14:paraId="4472FEC4" w14:textId="77777777" w:rsidR="00F75063" w:rsidRPr="00112DA7" w:rsidRDefault="00F75063" w:rsidP="0098560F">
      <w:pPr>
        <w:spacing w:before="200" w:after="0"/>
        <w:rPr>
          <w:rFonts w:cs="Arial"/>
        </w:rPr>
      </w:pPr>
      <w:r w:rsidRPr="00112DA7">
        <w:rPr>
          <w:rFonts w:cs="Arial"/>
        </w:rPr>
        <w:t>Key actions recommended for the next Strategy include a review of the disincentives in the income support system to maximise workforce participation of DSP recipients and the extension of safety net provisions for income security to NDIS participants.</w:t>
      </w:r>
    </w:p>
    <w:p w14:paraId="0AA47FB8" w14:textId="77777777" w:rsidR="00D45386" w:rsidRPr="0098560F" w:rsidRDefault="006008B9" w:rsidP="0098560F">
      <w:pPr>
        <w:pStyle w:val="Heading2"/>
        <w:spacing w:after="0"/>
        <w:rPr>
          <w:rFonts w:eastAsia="Times" w:cs="Arial"/>
          <w:sz w:val="24"/>
        </w:rPr>
      </w:pPr>
      <w:bookmarkStart w:id="19" w:name="_Toc58311335"/>
      <w:bookmarkStart w:id="20" w:name="_Toc59113123"/>
      <w:r w:rsidRPr="0098560F">
        <w:rPr>
          <w:rFonts w:eastAsia="Times" w:cs="Arial"/>
          <w:sz w:val="24"/>
        </w:rPr>
        <w:lastRenderedPageBreak/>
        <w:t>Specific commentary in relation to outcomes and indicators</w:t>
      </w:r>
      <w:bookmarkEnd w:id="19"/>
      <w:bookmarkEnd w:id="20"/>
      <w:r w:rsidR="00CF1684" w:rsidRPr="0098560F">
        <w:rPr>
          <w:rFonts w:eastAsia="Times" w:cs="Arial"/>
          <w:sz w:val="24"/>
        </w:rPr>
        <w:t xml:space="preserve"> </w:t>
      </w:r>
    </w:p>
    <w:p w14:paraId="63C47981" w14:textId="3E38D377" w:rsidR="00D45386" w:rsidRPr="00112DA7" w:rsidRDefault="00D45386" w:rsidP="0098560F">
      <w:pPr>
        <w:pStyle w:val="ListParagraph"/>
        <w:numPr>
          <w:ilvl w:val="0"/>
          <w:numId w:val="11"/>
        </w:numPr>
        <w:spacing w:before="200" w:after="0" w:line="276" w:lineRule="auto"/>
        <w:rPr>
          <w:rFonts w:eastAsia="Times" w:cs="Arial"/>
          <w:i/>
          <w:iCs/>
          <w:sz w:val="22"/>
        </w:rPr>
      </w:pPr>
      <w:r w:rsidRPr="00112DA7">
        <w:rPr>
          <w:rFonts w:eastAsia="Times" w:cs="Arial"/>
          <w:sz w:val="22"/>
        </w:rPr>
        <w:t xml:space="preserve">Replace </w:t>
      </w:r>
      <w:r w:rsidR="007F385E" w:rsidRPr="00112DA7">
        <w:rPr>
          <w:rFonts w:eastAsia="Times" w:cs="Arial"/>
          <w:i/>
          <w:iCs/>
          <w:sz w:val="22"/>
        </w:rPr>
        <w:t>I have employment opportunities</w:t>
      </w:r>
      <w:r w:rsidR="007F385E" w:rsidRPr="00112DA7">
        <w:rPr>
          <w:rFonts w:eastAsia="Times" w:cs="Arial"/>
          <w:sz w:val="22"/>
        </w:rPr>
        <w:t xml:space="preserve"> </w:t>
      </w:r>
      <w:r w:rsidRPr="00112DA7">
        <w:rPr>
          <w:rFonts w:eastAsia="Times" w:cs="Arial"/>
          <w:sz w:val="22"/>
        </w:rPr>
        <w:t>with</w:t>
      </w:r>
      <w:r w:rsidR="007F385E" w:rsidRPr="00112DA7">
        <w:rPr>
          <w:rFonts w:eastAsia="Times" w:cs="Arial"/>
          <w:sz w:val="22"/>
        </w:rPr>
        <w:t xml:space="preserve"> </w:t>
      </w:r>
      <w:r w:rsidR="007F385E" w:rsidRPr="00112DA7">
        <w:rPr>
          <w:rFonts w:eastAsia="Times" w:cs="Arial"/>
          <w:i/>
          <w:iCs/>
          <w:sz w:val="22"/>
        </w:rPr>
        <w:t>I have a job</w:t>
      </w:r>
    </w:p>
    <w:p w14:paraId="03762488" w14:textId="77777777" w:rsidR="00D45386" w:rsidRPr="00112DA7" w:rsidRDefault="00D45386" w:rsidP="0098560F">
      <w:pPr>
        <w:pStyle w:val="ListParagraph"/>
        <w:numPr>
          <w:ilvl w:val="0"/>
          <w:numId w:val="11"/>
        </w:numPr>
        <w:spacing w:before="200" w:after="0" w:line="276" w:lineRule="auto"/>
        <w:rPr>
          <w:rFonts w:eastAsia="Times" w:cs="Arial"/>
          <w:i/>
          <w:iCs/>
          <w:sz w:val="22"/>
        </w:rPr>
      </w:pPr>
      <w:r w:rsidRPr="00112DA7">
        <w:rPr>
          <w:rFonts w:eastAsia="Times New Roman" w:cs="Arial"/>
          <w:sz w:val="22"/>
          <w:lang w:eastAsia="en-AU"/>
        </w:rPr>
        <w:t xml:space="preserve">Replace </w:t>
      </w:r>
      <w:r w:rsidRPr="00112DA7">
        <w:rPr>
          <w:rFonts w:eastAsia="Times New Roman" w:cs="Arial"/>
          <w:i/>
          <w:iCs/>
          <w:sz w:val="22"/>
          <w:lang w:eastAsia="en-AU"/>
        </w:rPr>
        <w:t>financial stress</w:t>
      </w:r>
      <w:r w:rsidRPr="00112DA7">
        <w:rPr>
          <w:rFonts w:eastAsia="Times New Roman" w:cs="Arial"/>
          <w:sz w:val="22"/>
          <w:lang w:eastAsia="en-AU"/>
        </w:rPr>
        <w:t xml:space="preserve"> with </w:t>
      </w:r>
      <w:r w:rsidRPr="00112DA7">
        <w:rPr>
          <w:rFonts w:eastAsia="Times New Roman" w:cs="Arial"/>
          <w:i/>
          <w:iCs/>
          <w:sz w:val="22"/>
          <w:lang w:eastAsia="en-AU"/>
        </w:rPr>
        <w:t>access to emergency funds</w:t>
      </w:r>
      <w:r w:rsidRPr="00112DA7">
        <w:rPr>
          <w:rFonts w:eastAsia="Times New Roman" w:cs="Arial"/>
          <w:sz w:val="22"/>
          <w:lang w:eastAsia="en-AU"/>
        </w:rPr>
        <w:t xml:space="preserve"> </w:t>
      </w:r>
    </w:p>
    <w:p w14:paraId="666420A3" w14:textId="77777777" w:rsidR="007F385E" w:rsidRPr="00112DA7" w:rsidRDefault="00D45386" w:rsidP="0098560F">
      <w:pPr>
        <w:pStyle w:val="ListParagraph"/>
        <w:numPr>
          <w:ilvl w:val="0"/>
          <w:numId w:val="11"/>
        </w:numPr>
        <w:spacing w:before="200" w:after="0" w:line="276" w:lineRule="auto"/>
        <w:rPr>
          <w:rFonts w:eastAsia="Times" w:cs="Arial"/>
          <w:sz w:val="22"/>
        </w:rPr>
      </w:pPr>
      <w:r w:rsidRPr="00112DA7">
        <w:rPr>
          <w:rFonts w:eastAsia="Times" w:cs="Arial"/>
          <w:sz w:val="22"/>
        </w:rPr>
        <w:t>Additional m</w:t>
      </w:r>
      <w:r w:rsidR="007F385E" w:rsidRPr="00112DA7">
        <w:rPr>
          <w:rFonts w:eastAsia="Times" w:cs="Arial"/>
          <w:sz w:val="22"/>
        </w:rPr>
        <w:t>easures of interest</w:t>
      </w:r>
      <w:r w:rsidRPr="00112DA7">
        <w:rPr>
          <w:rFonts w:eastAsia="Times" w:cs="Arial"/>
          <w:sz w:val="22"/>
        </w:rPr>
        <w:t xml:space="preserve"> include measures of:</w:t>
      </w:r>
    </w:p>
    <w:p w14:paraId="2A450600" w14:textId="77777777" w:rsidR="007F385E" w:rsidRPr="00112DA7" w:rsidRDefault="007F385E" w:rsidP="0098560F">
      <w:pPr>
        <w:pStyle w:val="ListParagraph"/>
        <w:numPr>
          <w:ilvl w:val="1"/>
          <w:numId w:val="11"/>
        </w:numPr>
        <w:spacing w:before="200" w:after="0" w:line="276" w:lineRule="auto"/>
        <w:rPr>
          <w:rFonts w:eastAsia="Times" w:cs="Arial"/>
          <w:sz w:val="22"/>
        </w:rPr>
      </w:pPr>
      <w:r w:rsidRPr="00112DA7">
        <w:rPr>
          <w:rFonts w:eastAsia="Times" w:cs="Arial"/>
          <w:sz w:val="22"/>
        </w:rPr>
        <w:t>Transition from supported to open employment</w:t>
      </w:r>
    </w:p>
    <w:p w14:paraId="35040059" w14:textId="77777777" w:rsidR="007F385E" w:rsidRPr="00112DA7" w:rsidRDefault="007F385E" w:rsidP="0098560F">
      <w:pPr>
        <w:pStyle w:val="ListParagraph"/>
        <w:numPr>
          <w:ilvl w:val="1"/>
          <w:numId w:val="11"/>
        </w:numPr>
        <w:spacing w:before="200" w:after="0" w:line="276" w:lineRule="auto"/>
        <w:rPr>
          <w:rFonts w:eastAsia="Times" w:cs="Arial"/>
          <w:sz w:val="22"/>
        </w:rPr>
      </w:pPr>
      <w:r w:rsidRPr="00112DA7">
        <w:rPr>
          <w:rFonts w:eastAsia="Times" w:cs="Arial"/>
          <w:sz w:val="22"/>
        </w:rPr>
        <w:t>Perceived adequacy of support in finding and retaining employment</w:t>
      </w:r>
    </w:p>
    <w:p w14:paraId="758E21B5" w14:textId="77777777" w:rsidR="00F47FD0" w:rsidRPr="00112DA7" w:rsidRDefault="00F47FD0" w:rsidP="0098560F">
      <w:pPr>
        <w:pStyle w:val="ListParagraph"/>
        <w:numPr>
          <w:ilvl w:val="1"/>
          <w:numId w:val="11"/>
        </w:numPr>
        <w:spacing w:before="200" w:after="0" w:line="276" w:lineRule="auto"/>
        <w:rPr>
          <w:rFonts w:eastAsia="Times" w:cs="Arial"/>
          <w:sz w:val="22"/>
        </w:rPr>
      </w:pPr>
      <w:r w:rsidRPr="00112DA7">
        <w:rPr>
          <w:rFonts w:eastAsia="Times" w:cs="Arial"/>
          <w:sz w:val="22"/>
        </w:rPr>
        <w:t>Annual reporting of rates of employment of people with disability within Federal, State and Territory public service organisations</w:t>
      </w:r>
    </w:p>
    <w:p w14:paraId="68B0129D" w14:textId="77777777" w:rsidR="00F47FD0" w:rsidRPr="00112DA7" w:rsidRDefault="00F47FD0" w:rsidP="0098560F">
      <w:pPr>
        <w:pStyle w:val="ListParagraph"/>
        <w:numPr>
          <w:ilvl w:val="1"/>
          <w:numId w:val="11"/>
        </w:numPr>
        <w:spacing w:before="200" w:after="0" w:line="276" w:lineRule="auto"/>
        <w:rPr>
          <w:rFonts w:eastAsia="Times" w:cs="Arial"/>
          <w:sz w:val="22"/>
        </w:rPr>
      </w:pPr>
      <w:r w:rsidRPr="00112DA7">
        <w:rPr>
          <w:rFonts w:eastAsia="Times" w:cs="Arial"/>
          <w:sz w:val="22"/>
        </w:rPr>
        <w:t>Annual qualitative reporting of changes made to recruitment processes to ‘level the field’ for people with disability within all public sector organisations</w:t>
      </w:r>
    </w:p>
    <w:p w14:paraId="45C70699" w14:textId="77777777" w:rsidR="007F385E" w:rsidRPr="00112DA7" w:rsidRDefault="00D45386" w:rsidP="0098560F">
      <w:pPr>
        <w:pStyle w:val="ListParagraph"/>
        <w:numPr>
          <w:ilvl w:val="1"/>
          <w:numId w:val="11"/>
        </w:numPr>
        <w:spacing w:before="200" w:after="0" w:line="276" w:lineRule="auto"/>
        <w:rPr>
          <w:rFonts w:eastAsia="Times" w:cs="Arial"/>
          <w:sz w:val="22"/>
        </w:rPr>
      </w:pPr>
      <w:r w:rsidRPr="00112DA7">
        <w:rPr>
          <w:rFonts w:eastAsia="Times" w:cs="Arial"/>
          <w:sz w:val="22"/>
        </w:rPr>
        <w:t>Comparative w</w:t>
      </w:r>
      <w:r w:rsidR="00CA6647" w:rsidRPr="00112DA7">
        <w:rPr>
          <w:rFonts w:eastAsia="Times" w:cs="Arial"/>
          <w:sz w:val="22"/>
        </w:rPr>
        <w:t>age outcomes for p</w:t>
      </w:r>
      <w:r w:rsidRPr="00112DA7">
        <w:rPr>
          <w:rFonts w:eastAsia="Times" w:cs="Arial"/>
          <w:sz w:val="22"/>
        </w:rPr>
        <w:t>eople with disability</w:t>
      </w:r>
      <w:r w:rsidR="00CA6647" w:rsidRPr="00112DA7">
        <w:rPr>
          <w:rFonts w:eastAsia="Times" w:cs="Arial"/>
          <w:sz w:val="22"/>
        </w:rPr>
        <w:t xml:space="preserve"> in same way gender disparity </w:t>
      </w:r>
      <w:r w:rsidRPr="00112DA7">
        <w:rPr>
          <w:rFonts w:eastAsia="Times" w:cs="Arial"/>
          <w:sz w:val="22"/>
        </w:rPr>
        <w:t xml:space="preserve">is </w:t>
      </w:r>
      <w:r w:rsidR="00CA6647" w:rsidRPr="00112DA7">
        <w:rPr>
          <w:rFonts w:eastAsia="Times" w:cs="Arial"/>
          <w:sz w:val="22"/>
        </w:rPr>
        <w:t>measured</w:t>
      </w:r>
      <w:r w:rsidR="006008B9" w:rsidRPr="00112DA7">
        <w:rPr>
          <w:rFonts w:eastAsia="Times" w:cs="Arial"/>
          <w:sz w:val="22"/>
        </w:rPr>
        <w:t>.</w:t>
      </w:r>
    </w:p>
    <w:p w14:paraId="7F54F531" w14:textId="66CA6EEE" w:rsidR="009E3B5C" w:rsidRPr="0098560F" w:rsidRDefault="009E3B5C" w:rsidP="00E26FD0">
      <w:pPr>
        <w:pStyle w:val="Heading1"/>
      </w:pPr>
      <w:bookmarkStart w:id="21" w:name="_Toc58311336"/>
      <w:bookmarkStart w:id="22" w:name="_Toc59113124"/>
      <w:r w:rsidRPr="0098560F">
        <w:t>Health and wellbeing</w:t>
      </w:r>
      <w:bookmarkEnd w:id="21"/>
      <w:bookmarkEnd w:id="22"/>
    </w:p>
    <w:p w14:paraId="794F624B" w14:textId="77777777" w:rsidR="002C44D4" w:rsidRPr="0098560F" w:rsidRDefault="002C44D4" w:rsidP="0098560F">
      <w:pPr>
        <w:pStyle w:val="Heading2"/>
        <w:spacing w:after="0"/>
        <w:rPr>
          <w:rFonts w:cs="Arial"/>
          <w:sz w:val="24"/>
        </w:rPr>
      </w:pPr>
      <w:bookmarkStart w:id="23" w:name="_Toc58311337"/>
      <w:bookmarkStart w:id="24" w:name="_Toc59113125"/>
      <w:r w:rsidRPr="0098560F">
        <w:rPr>
          <w:rFonts w:cs="Arial"/>
          <w:sz w:val="24"/>
        </w:rPr>
        <w:t>Background</w:t>
      </w:r>
      <w:bookmarkEnd w:id="23"/>
      <w:bookmarkEnd w:id="24"/>
    </w:p>
    <w:p w14:paraId="757ABD12" w14:textId="23517D3E" w:rsidR="002C44D4" w:rsidRPr="00112DA7" w:rsidRDefault="002C44D4" w:rsidP="0098560F">
      <w:pPr>
        <w:pStyle w:val="NormalWeb"/>
        <w:spacing w:before="200" w:beforeAutospacing="0" w:after="0" w:afterAutospacing="0" w:line="276" w:lineRule="auto"/>
        <w:rPr>
          <w:rFonts w:ascii="Arial" w:hAnsi="Arial" w:cs="Arial"/>
          <w:sz w:val="22"/>
          <w:szCs w:val="22"/>
        </w:rPr>
      </w:pPr>
      <w:r w:rsidRPr="00112DA7">
        <w:rPr>
          <w:rFonts w:ascii="Arial" w:hAnsi="Arial" w:cs="Arial"/>
          <w:sz w:val="22"/>
          <w:szCs w:val="22"/>
        </w:rPr>
        <w:t>Substantial evidence of health inequalities makes it clear that the Australian health system is failing people with disability. NDIS participants are more likely to report more challenges in accessing health services than the general population, particularly related to access, attitudes and exp</w:t>
      </w:r>
      <w:r w:rsidR="00ED76F0" w:rsidRPr="00112DA7">
        <w:rPr>
          <w:rFonts w:ascii="Arial" w:hAnsi="Arial" w:cs="Arial"/>
          <w:sz w:val="22"/>
          <w:szCs w:val="22"/>
        </w:rPr>
        <w:t xml:space="preserve">ertise of health professionals. </w:t>
      </w:r>
      <w:r w:rsidRPr="00112DA7">
        <w:rPr>
          <w:rFonts w:ascii="Arial" w:hAnsi="Arial" w:cs="Arial"/>
          <w:sz w:val="22"/>
          <w:szCs w:val="22"/>
        </w:rPr>
        <w:t xml:space="preserve">The finding by </w:t>
      </w:r>
      <w:proofErr w:type="spellStart"/>
      <w:r w:rsidRPr="00112DA7">
        <w:rPr>
          <w:rFonts w:ascii="Arial" w:hAnsi="Arial" w:cs="Arial"/>
          <w:sz w:val="22"/>
          <w:szCs w:val="22"/>
        </w:rPr>
        <w:t>Bigby</w:t>
      </w:r>
      <w:proofErr w:type="spellEnd"/>
      <w:r w:rsidRPr="00112DA7">
        <w:rPr>
          <w:rStyle w:val="FootnoteReference"/>
          <w:rFonts w:ascii="Arial" w:hAnsi="Arial" w:cs="Arial"/>
          <w:sz w:val="22"/>
          <w:szCs w:val="22"/>
        </w:rPr>
        <w:footnoteReference w:id="1"/>
      </w:r>
      <w:r w:rsidRPr="00112DA7">
        <w:rPr>
          <w:rFonts w:ascii="Arial" w:hAnsi="Arial" w:cs="Arial"/>
          <w:sz w:val="22"/>
          <w:szCs w:val="22"/>
        </w:rPr>
        <w:t xml:space="preserve"> that promising practices of supporting people with disability in hospital are ‘serendipitous and uneven’ and thereby not recognised, shared or taught, and that some people with cognitive impairment remain in hospital long after returning to pre-admission health and functional status, demonstrates the costly impacts for both people with disability and the health system. </w:t>
      </w:r>
    </w:p>
    <w:p w14:paraId="00B4560D" w14:textId="77777777" w:rsidR="002C44D4" w:rsidRPr="00112DA7" w:rsidRDefault="002C44D4" w:rsidP="0098560F">
      <w:pPr>
        <w:spacing w:before="200" w:after="0"/>
        <w:rPr>
          <w:rFonts w:cs="Arial"/>
        </w:rPr>
      </w:pPr>
      <w:r w:rsidRPr="00112DA7">
        <w:rPr>
          <w:rFonts w:cs="Arial"/>
        </w:rPr>
        <w:t>Whilst some states and territories have taken positive steps, acknowledgement of failings is a first step to addressing them. Key strategies recommended for the next Strategy include a review of Medicare items to ensure they provide the extra time people with disability need for accurate and respectful diagnosis and treatment, incentivising rather than penalising access to health care; the exploration of health profiles related to disability support needs; consultancy support to improve practice; training for health professionals and requirements on health initiatives, data collection, analysis and research to ensure targeted actions address problems that underlie the inequitable health outcomes of Australians with and without disability.</w:t>
      </w:r>
    </w:p>
    <w:p w14:paraId="2155E39A" w14:textId="77777777" w:rsidR="006008B9" w:rsidRPr="0098560F" w:rsidRDefault="006008B9" w:rsidP="0098560F">
      <w:pPr>
        <w:pStyle w:val="Heading2"/>
        <w:spacing w:after="0"/>
        <w:rPr>
          <w:rFonts w:eastAsia="Times" w:cs="Arial"/>
          <w:sz w:val="24"/>
        </w:rPr>
      </w:pPr>
      <w:bookmarkStart w:id="25" w:name="_Toc58311338"/>
      <w:bookmarkStart w:id="26" w:name="_Toc59113126"/>
      <w:r w:rsidRPr="0098560F">
        <w:rPr>
          <w:rFonts w:eastAsia="Times" w:cs="Arial"/>
          <w:sz w:val="24"/>
        </w:rPr>
        <w:t>Specific commentary in relation to outcomes and indicators</w:t>
      </w:r>
      <w:bookmarkEnd w:id="25"/>
      <w:bookmarkEnd w:id="26"/>
    </w:p>
    <w:p w14:paraId="77094B3B" w14:textId="77777777" w:rsidR="002A20FE" w:rsidRPr="00112DA7" w:rsidRDefault="006008B9" w:rsidP="0098560F">
      <w:pPr>
        <w:pStyle w:val="ListParagraph"/>
        <w:numPr>
          <w:ilvl w:val="0"/>
          <w:numId w:val="12"/>
        </w:numPr>
        <w:spacing w:before="200" w:after="0" w:line="276" w:lineRule="auto"/>
        <w:rPr>
          <w:rFonts w:eastAsia="Times" w:cs="Arial"/>
          <w:sz w:val="22"/>
        </w:rPr>
      </w:pPr>
      <w:r w:rsidRPr="00112DA7">
        <w:rPr>
          <w:rFonts w:eastAsia="Times" w:cs="Arial"/>
          <w:sz w:val="22"/>
        </w:rPr>
        <w:t xml:space="preserve">Replace ‘accessible’ </w:t>
      </w:r>
      <w:r w:rsidR="008A25EB" w:rsidRPr="00112DA7">
        <w:rPr>
          <w:rFonts w:eastAsia="Times" w:cs="Arial"/>
          <w:sz w:val="22"/>
        </w:rPr>
        <w:t xml:space="preserve">with ‘responsive’ </w:t>
      </w:r>
      <w:r w:rsidRPr="00112DA7">
        <w:rPr>
          <w:rFonts w:eastAsia="Times" w:cs="Arial"/>
          <w:sz w:val="22"/>
        </w:rPr>
        <w:t>in</w:t>
      </w:r>
      <w:r w:rsidRPr="00112DA7">
        <w:rPr>
          <w:rFonts w:eastAsia="Times" w:cs="Arial"/>
          <w:i/>
          <w:iCs/>
          <w:sz w:val="22"/>
        </w:rPr>
        <w:t xml:space="preserve"> My</w:t>
      </w:r>
      <w:r w:rsidR="008A25EB" w:rsidRPr="00112DA7">
        <w:rPr>
          <w:rFonts w:eastAsia="Times" w:cs="Arial"/>
          <w:i/>
          <w:iCs/>
          <w:sz w:val="22"/>
        </w:rPr>
        <w:t xml:space="preserve"> </w:t>
      </w:r>
      <w:r w:rsidRPr="00112DA7">
        <w:rPr>
          <w:rFonts w:eastAsia="Times" w:cs="Arial"/>
          <w:i/>
          <w:iCs/>
          <w:sz w:val="22"/>
        </w:rPr>
        <w:t>GP, hospital and other health care providers are accessible</w:t>
      </w:r>
      <w:r w:rsidR="00CE76A8" w:rsidRPr="00112DA7">
        <w:rPr>
          <w:rFonts w:eastAsia="Times" w:cs="Arial"/>
          <w:sz w:val="22"/>
        </w:rPr>
        <w:t xml:space="preserve">. </w:t>
      </w:r>
    </w:p>
    <w:p w14:paraId="3A981C4B" w14:textId="305DFE14" w:rsidR="00CE76A8" w:rsidRPr="00112DA7" w:rsidRDefault="00CE76A8" w:rsidP="0098560F">
      <w:pPr>
        <w:pStyle w:val="ListParagraph"/>
        <w:numPr>
          <w:ilvl w:val="0"/>
          <w:numId w:val="12"/>
        </w:numPr>
        <w:spacing w:before="200" w:after="0" w:line="276" w:lineRule="auto"/>
        <w:rPr>
          <w:rFonts w:eastAsia="Times" w:cs="Arial"/>
          <w:sz w:val="22"/>
        </w:rPr>
      </w:pPr>
      <w:r w:rsidRPr="00112DA7">
        <w:rPr>
          <w:rFonts w:eastAsia="Times" w:cs="Arial"/>
          <w:sz w:val="22"/>
        </w:rPr>
        <w:lastRenderedPageBreak/>
        <w:t>Ensure reporting enables the demonstration of stark health inequalities</w:t>
      </w:r>
      <w:r w:rsidRPr="00112DA7">
        <w:rPr>
          <w:rStyle w:val="FootnoteReference"/>
          <w:rFonts w:eastAsiaTheme="majorEastAsia" w:cs="Arial"/>
          <w:sz w:val="22"/>
        </w:rPr>
        <w:footnoteReference w:id="2"/>
      </w:r>
      <w:r w:rsidRPr="00112DA7">
        <w:rPr>
          <w:rFonts w:eastAsia="Times" w:cs="Arial"/>
          <w:sz w:val="22"/>
        </w:rPr>
        <w:t xml:space="preserve"> </w:t>
      </w:r>
      <w:r w:rsidRPr="00112DA7">
        <w:rPr>
          <w:rFonts w:cs="Arial"/>
          <w:sz w:val="22"/>
        </w:rPr>
        <w:t>when compared with the general population</w:t>
      </w:r>
      <w:r w:rsidR="008A25EB" w:rsidRPr="00112DA7">
        <w:rPr>
          <w:rFonts w:cs="Arial"/>
          <w:sz w:val="22"/>
        </w:rPr>
        <w:t xml:space="preserve"> (</w:t>
      </w:r>
      <w:r w:rsidR="008A25EB" w:rsidRPr="00112DA7">
        <w:rPr>
          <w:rFonts w:eastAsia="Times" w:cs="Arial"/>
          <w:sz w:val="22"/>
        </w:rPr>
        <w:t>featured in the Council’s submission)</w:t>
      </w:r>
      <w:r w:rsidRPr="00112DA7">
        <w:rPr>
          <w:rFonts w:cs="Arial"/>
          <w:sz w:val="22"/>
        </w:rPr>
        <w:t xml:space="preserve">, </w:t>
      </w:r>
      <w:r w:rsidR="002A20FE" w:rsidRPr="00112DA7">
        <w:rPr>
          <w:rFonts w:cs="Arial"/>
          <w:sz w:val="22"/>
        </w:rPr>
        <w:t xml:space="preserve">and extend </w:t>
      </w:r>
      <w:r w:rsidR="008A25EB" w:rsidRPr="00112DA7">
        <w:rPr>
          <w:rFonts w:cs="Arial"/>
          <w:sz w:val="22"/>
        </w:rPr>
        <w:t xml:space="preserve">the measurement and reporting </w:t>
      </w:r>
      <w:r w:rsidR="002A20FE" w:rsidRPr="00112DA7">
        <w:rPr>
          <w:rFonts w:cs="Arial"/>
          <w:sz w:val="22"/>
        </w:rPr>
        <w:t xml:space="preserve">to people with disabilities other than </w:t>
      </w:r>
      <w:r w:rsidRPr="00112DA7">
        <w:rPr>
          <w:rFonts w:cs="Arial"/>
          <w:sz w:val="22"/>
        </w:rPr>
        <w:t>intellectual and cognitive disabilities</w:t>
      </w:r>
      <w:r w:rsidR="002A20FE" w:rsidRPr="00112DA7">
        <w:rPr>
          <w:rFonts w:cs="Arial"/>
          <w:sz w:val="22"/>
        </w:rPr>
        <w:t xml:space="preserve">. Reporting </w:t>
      </w:r>
      <w:r w:rsidR="00ED76F0" w:rsidRPr="00112DA7">
        <w:rPr>
          <w:rFonts w:cs="Arial"/>
          <w:sz w:val="22"/>
        </w:rPr>
        <w:t>should</w:t>
      </w:r>
      <w:r w:rsidR="002A20FE" w:rsidRPr="00112DA7">
        <w:rPr>
          <w:rFonts w:cs="Arial"/>
          <w:sz w:val="22"/>
        </w:rPr>
        <w:t xml:space="preserve"> include data that allows comparison of rate of</w:t>
      </w:r>
      <w:r w:rsidRPr="00112DA7">
        <w:rPr>
          <w:rFonts w:cs="Arial"/>
          <w:sz w:val="22"/>
        </w:rPr>
        <w:t xml:space="preserve">: </w:t>
      </w:r>
    </w:p>
    <w:p w14:paraId="7882433B" w14:textId="77777777" w:rsidR="00CE76A8" w:rsidRPr="00112DA7" w:rsidRDefault="00CE76A8" w:rsidP="00D97E6F">
      <w:pPr>
        <w:pStyle w:val="NormalWeb"/>
        <w:numPr>
          <w:ilvl w:val="0"/>
          <w:numId w:val="23"/>
        </w:numPr>
        <w:spacing w:before="12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number of health problems </w:t>
      </w:r>
    </w:p>
    <w:p w14:paraId="385A3468"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avoidable deaths </w:t>
      </w:r>
    </w:p>
    <w:p w14:paraId="77994AED" w14:textId="77777777" w:rsidR="00CE76A8" w:rsidRPr="00112DA7" w:rsidRDefault="002A20FE"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e</w:t>
      </w:r>
      <w:r w:rsidR="00CE76A8" w:rsidRPr="00112DA7">
        <w:rPr>
          <w:rFonts w:ascii="Arial" w:hAnsi="Arial" w:cs="Arial"/>
          <w:sz w:val="22"/>
          <w:szCs w:val="22"/>
        </w:rPr>
        <w:t xml:space="preserve">arly indications of future increased ill-health such as obesity and psychiatric disorder </w:t>
      </w:r>
    </w:p>
    <w:p w14:paraId="4EDC5B6F" w14:textId="77777777" w:rsidR="00CE76A8" w:rsidRPr="00112DA7" w:rsidRDefault="002A20FE"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u</w:t>
      </w:r>
      <w:r w:rsidR="00CE76A8" w:rsidRPr="00112DA7">
        <w:rPr>
          <w:rFonts w:ascii="Arial" w:hAnsi="Arial" w:cs="Arial"/>
          <w:sz w:val="22"/>
          <w:szCs w:val="22"/>
        </w:rPr>
        <w:t xml:space="preserve">nder-diagnosis of chronic and acute health conditions that can lead </w:t>
      </w:r>
      <w:r w:rsidR="009447C2" w:rsidRPr="00112DA7">
        <w:rPr>
          <w:rFonts w:ascii="Arial" w:hAnsi="Arial" w:cs="Arial"/>
          <w:sz w:val="22"/>
          <w:szCs w:val="22"/>
        </w:rPr>
        <w:t xml:space="preserve">to </w:t>
      </w:r>
      <w:r w:rsidR="00CE76A8" w:rsidRPr="00112DA7">
        <w:rPr>
          <w:rFonts w:ascii="Arial" w:hAnsi="Arial" w:cs="Arial"/>
          <w:sz w:val="22"/>
          <w:szCs w:val="22"/>
        </w:rPr>
        <w:t>significant functional impacts</w:t>
      </w:r>
    </w:p>
    <w:p w14:paraId="76AC9C8B"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potentially modifiable </w:t>
      </w:r>
      <w:proofErr w:type="spellStart"/>
      <w:r w:rsidRPr="00112DA7">
        <w:rPr>
          <w:rFonts w:ascii="Arial" w:hAnsi="Arial" w:cs="Arial"/>
          <w:sz w:val="22"/>
          <w:szCs w:val="22"/>
        </w:rPr>
        <w:t>cardiometabolic</w:t>
      </w:r>
      <w:proofErr w:type="spellEnd"/>
      <w:r w:rsidRPr="00112DA7">
        <w:rPr>
          <w:rFonts w:ascii="Arial" w:hAnsi="Arial" w:cs="Arial"/>
          <w:sz w:val="22"/>
          <w:szCs w:val="22"/>
        </w:rPr>
        <w:t xml:space="preserve"> risk factors </w:t>
      </w:r>
    </w:p>
    <w:p w14:paraId="56FE7DED"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consultations with GPs addressing physical and preventative health issues </w:t>
      </w:r>
    </w:p>
    <w:p w14:paraId="7C31C9A1"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prescri</w:t>
      </w:r>
      <w:r w:rsidR="002A20FE" w:rsidRPr="00112DA7">
        <w:rPr>
          <w:rFonts w:ascii="Arial" w:hAnsi="Arial" w:cs="Arial"/>
          <w:sz w:val="22"/>
          <w:szCs w:val="22"/>
        </w:rPr>
        <w:t>ption of</w:t>
      </w:r>
      <w:r w:rsidRPr="00112DA7">
        <w:rPr>
          <w:rFonts w:ascii="Arial" w:hAnsi="Arial" w:cs="Arial"/>
          <w:sz w:val="22"/>
          <w:szCs w:val="22"/>
        </w:rPr>
        <w:t xml:space="preserve"> preventative health medications </w:t>
      </w:r>
    </w:p>
    <w:p w14:paraId="1D113235" w14:textId="77777777" w:rsidR="00CE76A8" w:rsidRPr="00112DA7" w:rsidRDefault="002A20FE"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prescription of </w:t>
      </w:r>
      <w:r w:rsidR="00CE76A8" w:rsidRPr="00112DA7">
        <w:rPr>
          <w:rFonts w:ascii="Arial" w:hAnsi="Arial" w:cs="Arial"/>
          <w:sz w:val="22"/>
          <w:szCs w:val="22"/>
        </w:rPr>
        <w:t xml:space="preserve">psychotropic medication </w:t>
      </w:r>
    </w:p>
    <w:p w14:paraId="37BFD387"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usage of emergency departments and hospital admissions </w:t>
      </w:r>
    </w:p>
    <w:p w14:paraId="5522A554"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potentially preventable hospitalisation </w:t>
      </w:r>
    </w:p>
    <w:p w14:paraId="2D2D65B4"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mental health admissions </w:t>
      </w:r>
    </w:p>
    <w:p w14:paraId="41A36A3B" w14:textId="77777777" w:rsidR="00CE76A8" w:rsidRPr="00112DA7" w:rsidRDefault="00CE76A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contacts with community mental health services </w:t>
      </w:r>
    </w:p>
    <w:p w14:paraId="352F29FC" w14:textId="77777777" w:rsidR="006008B9" w:rsidRPr="00112DA7" w:rsidRDefault="00504448"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proofErr w:type="gramStart"/>
      <w:r w:rsidRPr="00112DA7">
        <w:rPr>
          <w:rFonts w:ascii="Arial" w:hAnsi="Arial" w:cs="Arial"/>
          <w:sz w:val="22"/>
          <w:szCs w:val="22"/>
        </w:rPr>
        <w:t>premature</w:t>
      </w:r>
      <w:proofErr w:type="gramEnd"/>
      <w:r w:rsidRPr="00112DA7">
        <w:rPr>
          <w:rFonts w:ascii="Arial" w:hAnsi="Arial" w:cs="Arial"/>
          <w:sz w:val="22"/>
          <w:szCs w:val="22"/>
        </w:rPr>
        <w:t xml:space="preserve"> death.</w:t>
      </w:r>
    </w:p>
    <w:p w14:paraId="6D6A6623" w14:textId="77777777" w:rsidR="007F29FE" w:rsidRPr="00112DA7" w:rsidRDefault="007F29FE" w:rsidP="00D97E6F">
      <w:pPr>
        <w:pStyle w:val="NormalWeb"/>
        <w:numPr>
          <w:ilvl w:val="0"/>
          <w:numId w:val="23"/>
        </w:numPr>
        <w:spacing w:before="0" w:beforeAutospacing="0" w:after="160" w:afterAutospacing="0" w:line="276" w:lineRule="auto"/>
        <w:ind w:left="1077" w:hanging="357"/>
        <w:rPr>
          <w:rFonts w:ascii="Arial" w:hAnsi="Arial" w:cs="Arial"/>
          <w:sz w:val="22"/>
          <w:szCs w:val="22"/>
        </w:rPr>
      </w:pPr>
      <w:r w:rsidRPr="00112DA7">
        <w:rPr>
          <w:rFonts w:ascii="Arial" w:hAnsi="Arial" w:cs="Arial"/>
          <w:sz w:val="22"/>
          <w:szCs w:val="22"/>
        </w:rPr>
        <w:t xml:space="preserve">readmissions to hospital </w:t>
      </w:r>
    </w:p>
    <w:p w14:paraId="25DD3265" w14:textId="77777777" w:rsidR="00504448" w:rsidRPr="00112DA7" w:rsidRDefault="008A25EB" w:rsidP="00D97E6F">
      <w:pPr>
        <w:pStyle w:val="ListParagraph"/>
        <w:rPr>
          <w:sz w:val="22"/>
        </w:rPr>
      </w:pPr>
      <w:r w:rsidRPr="00112DA7">
        <w:rPr>
          <w:sz w:val="22"/>
        </w:rPr>
        <w:t>Additional d</w:t>
      </w:r>
      <w:r w:rsidR="00504448" w:rsidRPr="00112DA7">
        <w:rPr>
          <w:sz w:val="22"/>
        </w:rPr>
        <w:t xml:space="preserve">ata collection and monitoring for outcomes is required in the following areas recommended in the Council submission: </w:t>
      </w:r>
    </w:p>
    <w:p w14:paraId="31E312E7" w14:textId="77777777" w:rsidR="00504448" w:rsidRPr="00112DA7" w:rsidRDefault="00504448" w:rsidP="0098560F">
      <w:pPr>
        <w:pStyle w:val="NormalWeb"/>
        <w:numPr>
          <w:ilvl w:val="0"/>
          <w:numId w:val="26"/>
        </w:numPr>
        <w:spacing w:before="200" w:beforeAutospacing="0" w:after="0" w:afterAutospacing="0" w:line="276" w:lineRule="auto"/>
        <w:rPr>
          <w:rFonts w:ascii="Arial" w:hAnsi="Arial" w:cs="Arial"/>
          <w:sz w:val="22"/>
          <w:szCs w:val="22"/>
        </w:rPr>
      </w:pPr>
      <w:r w:rsidRPr="00112DA7">
        <w:rPr>
          <w:rFonts w:ascii="Arial" w:hAnsi="Arial" w:cs="Arial"/>
          <w:sz w:val="22"/>
          <w:szCs w:val="22"/>
        </w:rPr>
        <w:t xml:space="preserve">use of Medicare items that provide extra time </w:t>
      </w:r>
      <w:r w:rsidR="009447C2" w:rsidRPr="00112DA7">
        <w:rPr>
          <w:rFonts w:ascii="Arial" w:hAnsi="Arial" w:cs="Arial"/>
          <w:sz w:val="22"/>
          <w:szCs w:val="22"/>
        </w:rPr>
        <w:t xml:space="preserve">for treatment of </w:t>
      </w:r>
      <w:r w:rsidRPr="00112DA7">
        <w:rPr>
          <w:rFonts w:ascii="Arial" w:hAnsi="Arial" w:cs="Arial"/>
          <w:sz w:val="22"/>
          <w:szCs w:val="22"/>
        </w:rPr>
        <w:t>people with disability (recommendation for Services Australia)</w:t>
      </w:r>
    </w:p>
    <w:p w14:paraId="6F58E2F5" w14:textId="60CD782C" w:rsidR="00504448" w:rsidRPr="00112DA7" w:rsidRDefault="00504448" w:rsidP="0098560F">
      <w:pPr>
        <w:pStyle w:val="NormalWeb"/>
        <w:numPr>
          <w:ilvl w:val="0"/>
          <w:numId w:val="26"/>
        </w:numPr>
        <w:spacing w:before="200" w:beforeAutospacing="0" w:after="0" w:afterAutospacing="0" w:line="276" w:lineRule="auto"/>
        <w:rPr>
          <w:rFonts w:ascii="Arial" w:hAnsi="Arial" w:cs="Arial"/>
          <w:sz w:val="22"/>
          <w:szCs w:val="22"/>
        </w:rPr>
      </w:pPr>
      <w:r w:rsidRPr="00112DA7">
        <w:rPr>
          <w:rFonts w:ascii="Arial" w:hAnsi="Arial" w:cs="Arial"/>
          <w:sz w:val="22"/>
          <w:szCs w:val="22"/>
        </w:rPr>
        <w:t>health status of people with disability (recommendation for</w:t>
      </w:r>
      <w:r w:rsidR="00ED76F0" w:rsidRPr="00112DA7">
        <w:rPr>
          <w:rFonts w:ascii="Arial" w:hAnsi="Arial" w:cs="Arial"/>
          <w:sz w:val="22"/>
          <w:szCs w:val="22"/>
        </w:rPr>
        <w:t xml:space="preserve"> the</w:t>
      </w:r>
      <w:r w:rsidRPr="00112DA7">
        <w:rPr>
          <w:rFonts w:ascii="Arial" w:hAnsi="Arial" w:cs="Arial"/>
          <w:color w:val="000000" w:themeColor="text1"/>
          <w:sz w:val="22"/>
          <w:szCs w:val="22"/>
        </w:rPr>
        <w:t xml:space="preserve"> Australian Bureau of Statistics/Australian Institute of Health and Welfare)</w:t>
      </w:r>
    </w:p>
    <w:p w14:paraId="4007D64D" w14:textId="303AF538" w:rsidR="00504448" w:rsidRPr="00112DA7" w:rsidRDefault="00504448" w:rsidP="0098560F">
      <w:pPr>
        <w:pStyle w:val="NormalWeb"/>
        <w:numPr>
          <w:ilvl w:val="0"/>
          <w:numId w:val="26"/>
        </w:numPr>
        <w:spacing w:before="200" w:beforeAutospacing="0" w:after="0" w:afterAutospacing="0" w:line="276" w:lineRule="auto"/>
        <w:rPr>
          <w:rFonts w:ascii="Arial" w:hAnsi="Arial" w:cs="Arial"/>
          <w:sz w:val="22"/>
          <w:szCs w:val="22"/>
        </w:rPr>
      </w:pPr>
      <w:r w:rsidRPr="00112DA7">
        <w:rPr>
          <w:rFonts w:ascii="Arial" w:hAnsi="Arial" w:cs="Arial"/>
          <w:sz w:val="22"/>
          <w:szCs w:val="22"/>
        </w:rPr>
        <w:t>review of deaths focused on both the health system an</w:t>
      </w:r>
      <w:r w:rsidR="00ED76F0" w:rsidRPr="00112DA7">
        <w:rPr>
          <w:rFonts w:ascii="Arial" w:hAnsi="Arial" w:cs="Arial"/>
          <w:sz w:val="22"/>
          <w:szCs w:val="22"/>
        </w:rPr>
        <w:t>d the disability support system</w:t>
      </w:r>
      <w:r w:rsidRPr="00112DA7">
        <w:rPr>
          <w:rFonts w:ascii="Arial" w:hAnsi="Arial" w:cs="Arial"/>
          <w:sz w:val="22"/>
          <w:szCs w:val="22"/>
        </w:rPr>
        <w:t xml:space="preserve"> (recommendation for</w:t>
      </w:r>
      <w:r w:rsidRPr="00112DA7">
        <w:rPr>
          <w:rFonts w:ascii="Arial" w:hAnsi="Arial" w:cs="Arial"/>
          <w:color w:val="000000" w:themeColor="text1"/>
          <w:sz w:val="22"/>
          <w:szCs w:val="22"/>
        </w:rPr>
        <w:t xml:space="preserve"> National, State and Territory Attorneys General)</w:t>
      </w:r>
    </w:p>
    <w:p w14:paraId="07B52736" w14:textId="77777777" w:rsidR="00504448" w:rsidRPr="00112DA7" w:rsidRDefault="00504448" w:rsidP="0098560F">
      <w:pPr>
        <w:pStyle w:val="NormalWeb"/>
        <w:numPr>
          <w:ilvl w:val="0"/>
          <w:numId w:val="26"/>
        </w:numPr>
        <w:spacing w:before="200" w:beforeAutospacing="0" w:after="0" w:afterAutospacing="0" w:line="276" w:lineRule="auto"/>
        <w:rPr>
          <w:rFonts w:ascii="Arial" w:hAnsi="Arial" w:cs="Arial"/>
          <w:sz w:val="22"/>
          <w:szCs w:val="22"/>
        </w:rPr>
      </w:pPr>
      <w:r w:rsidRPr="00112DA7">
        <w:rPr>
          <w:rFonts w:ascii="Arial" w:hAnsi="Arial" w:cs="Arial"/>
          <w:sz w:val="22"/>
          <w:szCs w:val="22"/>
        </w:rPr>
        <w:t xml:space="preserve">GPs use of comprehensive, high-quality, annual health assessments to people with disability (recommendation for </w:t>
      </w:r>
      <w:proofErr w:type="spellStart"/>
      <w:r w:rsidRPr="00112DA7">
        <w:rPr>
          <w:rFonts w:ascii="Arial" w:hAnsi="Arial" w:cs="Arial"/>
          <w:sz w:val="22"/>
          <w:szCs w:val="22"/>
        </w:rPr>
        <w:t>COAG</w:t>
      </w:r>
      <w:proofErr w:type="spellEnd"/>
      <w:r w:rsidRPr="00112DA7">
        <w:rPr>
          <w:rFonts w:ascii="Arial" w:hAnsi="Arial" w:cs="Arial"/>
          <w:sz w:val="22"/>
          <w:szCs w:val="22"/>
        </w:rPr>
        <w:t xml:space="preserve"> Health Ministers Conference (or its equivalent)</w:t>
      </w:r>
    </w:p>
    <w:p w14:paraId="4BADF0EC" w14:textId="5FA8D6BC" w:rsidR="009158E2" w:rsidRPr="00112DA7" w:rsidRDefault="00DE1C56" w:rsidP="0098560F">
      <w:pPr>
        <w:pStyle w:val="NormalWeb"/>
        <w:numPr>
          <w:ilvl w:val="0"/>
          <w:numId w:val="26"/>
        </w:numPr>
        <w:spacing w:before="200" w:beforeAutospacing="0" w:after="0" w:afterAutospacing="0" w:line="276" w:lineRule="auto"/>
        <w:rPr>
          <w:rFonts w:ascii="Arial" w:hAnsi="Arial" w:cs="Arial"/>
          <w:sz w:val="22"/>
          <w:szCs w:val="22"/>
        </w:rPr>
      </w:pPr>
      <w:proofErr w:type="gramStart"/>
      <w:r w:rsidRPr="00112DA7">
        <w:rPr>
          <w:rFonts w:ascii="Arial" w:hAnsi="Arial" w:cs="Arial"/>
          <w:sz w:val="22"/>
          <w:szCs w:val="22"/>
        </w:rPr>
        <w:lastRenderedPageBreak/>
        <w:t>ensuring</w:t>
      </w:r>
      <w:proofErr w:type="gramEnd"/>
      <w:r w:rsidRPr="00112DA7">
        <w:rPr>
          <w:rFonts w:ascii="Arial" w:hAnsi="Arial" w:cs="Arial"/>
          <w:sz w:val="22"/>
          <w:szCs w:val="22"/>
        </w:rPr>
        <w:t xml:space="preserve"> all health</w:t>
      </w:r>
      <w:r w:rsidR="00504448" w:rsidRPr="00112DA7">
        <w:rPr>
          <w:rFonts w:ascii="Arial" w:hAnsi="Arial" w:cs="Arial"/>
          <w:sz w:val="22"/>
          <w:szCs w:val="22"/>
        </w:rPr>
        <w:t xml:space="preserve"> initiatives </w:t>
      </w:r>
      <w:r w:rsidRPr="00112DA7">
        <w:rPr>
          <w:rFonts w:ascii="Arial" w:hAnsi="Arial" w:cs="Arial"/>
          <w:sz w:val="22"/>
          <w:szCs w:val="22"/>
        </w:rPr>
        <w:t>have a positive impact on</w:t>
      </w:r>
      <w:r w:rsidR="00504448" w:rsidRPr="00112DA7">
        <w:rPr>
          <w:rFonts w:ascii="Arial" w:hAnsi="Arial" w:cs="Arial"/>
          <w:sz w:val="22"/>
          <w:szCs w:val="22"/>
        </w:rPr>
        <w:t xml:space="preserve"> people with disability. (recommendation for </w:t>
      </w:r>
      <w:proofErr w:type="spellStart"/>
      <w:r w:rsidR="00504448" w:rsidRPr="00112DA7">
        <w:rPr>
          <w:rFonts w:ascii="Arial" w:hAnsi="Arial" w:cs="Arial"/>
          <w:sz w:val="22"/>
          <w:szCs w:val="22"/>
        </w:rPr>
        <w:t>COAG</w:t>
      </w:r>
      <w:proofErr w:type="spellEnd"/>
      <w:r w:rsidR="00504448" w:rsidRPr="00112DA7">
        <w:rPr>
          <w:rFonts w:ascii="Arial" w:hAnsi="Arial" w:cs="Arial"/>
          <w:sz w:val="22"/>
          <w:szCs w:val="22"/>
        </w:rPr>
        <w:t xml:space="preserve"> Health Ministers Conference)</w:t>
      </w:r>
    </w:p>
    <w:p w14:paraId="4B0C2C14" w14:textId="77777777" w:rsidR="00795F0A" w:rsidRPr="0098560F" w:rsidRDefault="00795F0A" w:rsidP="0098560F">
      <w:pPr>
        <w:pStyle w:val="Heading1"/>
        <w:spacing w:before="200"/>
        <w:rPr>
          <w:rFonts w:cs="Arial"/>
          <w:sz w:val="28"/>
        </w:rPr>
      </w:pPr>
      <w:bookmarkStart w:id="27" w:name="_Toc58311339"/>
      <w:bookmarkStart w:id="28" w:name="_Toc59113127"/>
      <w:r w:rsidRPr="0098560F">
        <w:rPr>
          <w:rFonts w:cs="Arial"/>
          <w:sz w:val="28"/>
        </w:rPr>
        <w:t>Rights protection</w:t>
      </w:r>
      <w:bookmarkEnd w:id="27"/>
      <w:bookmarkEnd w:id="28"/>
    </w:p>
    <w:p w14:paraId="2D03D3D5" w14:textId="77777777" w:rsidR="00C827AD" w:rsidRPr="0098560F" w:rsidRDefault="00C827AD" w:rsidP="0098560F">
      <w:pPr>
        <w:pStyle w:val="Heading2"/>
        <w:spacing w:after="0"/>
        <w:rPr>
          <w:rFonts w:eastAsia="Times" w:cs="Arial"/>
          <w:sz w:val="24"/>
        </w:rPr>
      </w:pPr>
      <w:bookmarkStart w:id="29" w:name="_Toc58311340"/>
      <w:bookmarkStart w:id="30" w:name="_Toc59113128"/>
      <w:r w:rsidRPr="0098560F">
        <w:rPr>
          <w:rFonts w:eastAsia="Times" w:cs="Arial"/>
          <w:sz w:val="24"/>
        </w:rPr>
        <w:t>Background</w:t>
      </w:r>
      <w:bookmarkEnd w:id="29"/>
      <w:bookmarkEnd w:id="30"/>
    </w:p>
    <w:p w14:paraId="06E260AF" w14:textId="77777777" w:rsidR="00C827AD" w:rsidRPr="0098560F" w:rsidRDefault="00C827AD" w:rsidP="0098560F">
      <w:pPr>
        <w:pStyle w:val="Heading3"/>
        <w:spacing w:before="200" w:line="276" w:lineRule="auto"/>
        <w:rPr>
          <w:rFonts w:cs="Arial"/>
          <w:sz w:val="22"/>
        </w:rPr>
      </w:pPr>
      <w:bookmarkStart w:id="31" w:name="_Toc58311341"/>
      <w:r w:rsidRPr="0098560F">
        <w:rPr>
          <w:rFonts w:cs="Arial"/>
          <w:sz w:val="22"/>
        </w:rPr>
        <w:t>Justice</w:t>
      </w:r>
      <w:bookmarkEnd w:id="31"/>
    </w:p>
    <w:p w14:paraId="35A3C5EF" w14:textId="77777777" w:rsidR="00C827AD" w:rsidRPr="00112DA7" w:rsidRDefault="00C827AD" w:rsidP="0098560F">
      <w:pPr>
        <w:pStyle w:val="NumberLevel4"/>
        <w:spacing w:before="200" w:after="0" w:line="276" w:lineRule="auto"/>
        <w:rPr>
          <w:lang w:eastAsia="en-US"/>
        </w:rPr>
      </w:pPr>
      <w:r w:rsidRPr="00112DA7">
        <w:t>People with disability face many challenges when in contact with the criminal justice system including difficulty understanding and exercising their rights and limited access to bail, diversionary orders, non-custodial sentencing options and parole. Within custodial environments, people with disability are vulnerable to abuse and to developing an entrenched propensity to reoffend. They also experience challenges in moving from the highly structured environment of custody to an unstructured environment in the community.</w:t>
      </w:r>
    </w:p>
    <w:p w14:paraId="66ED29AE" w14:textId="77777777" w:rsidR="00C827AD" w:rsidRPr="00112DA7" w:rsidRDefault="00C827AD" w:rsidP="0098560F">
      <w:pPr>
        <w:pStyle w:val="NumberLevel1"/>
        <w:spacing w:before="200" w:after="0" w:line="276" w:lineRule="auto"/>
        <w:rPr>
          <w:rFonts w:ascii="Arial" w:hAnsi="Arial" w:cs="Arial"/>
          <w:color w:val="000000" w:themeColor="text1"/>
          <w:sz w:val="22"/>
          <w:szCs w:val="22"/>
        </w:rPr>
      </w:pPr>
      <w:r w:rsidRPr="00112DA7">
        <w:rPr>
          <w:rFonts w:ascii="Arial" w:hAnsi="Arial" w:cs="Arial"/>
          <w:color w:val="000000" w:themeColor="text1"/>
          <w:sz w:val="22"/>
          <w:szCs w:val="22"/>
        </w:rPr>
        <w:t>The NDIS takes a narrower view of its role than previous State and Territory Governments</w:t>
      </w:r>
      <w:r w:rsidR="007F29FE" w:rsidRPr="00112DA7">
        <w:rPr>
          <w:rFonts w:ascii="Arial" w:hAnsi="Arial" w:cs="Arial"/>
          <w:color w:val="000000" w:themeColor="text1"/>
          <w:sz w:val="22"/>
          <w:szCs w:val="22"/>
        </w:rPr>
        <w:t xml:space="preserve"> disability providers</w:t>
      </w:r>
      <w:r w:rsidRPr="00112DA7">
        <w:rPr>
          <w:rFonts w:ascii="Arial" w:hAnsi="Arial" w:cs="Arial"/>
          <w:color w:val="000000" w:themeColor="text1"/>
          <w:sz w:val="22"/>
          <w:szCs w:val="22"/>
        </w:rPr>
        <w:t xml:space="preserve"> and under the interface principles, state justice departments are required to </w:t>
      </w:r>
      <w:r w:rsidR="007F29FE" w:rsidRPr="00112DA7">
        <w:rPr>
          <w:rFonts w:ascii="Arial" w:hAnsi="Arial" w:cs="Arial"/>
          <w:color w:val="000000" w:themeColor="text1"/>
          <w:sz w:val="22"/>
          <w:szCs w:val="22"/>
        </w:rPr>
        <w:t xml:space="preserve">continue to </w:t>
      </w:r>
      <w:r w:rsidRPr="00112DA7">
        <w:rPr>
          <w:rFonts w:ascii="Arial" w:hAnsi="Arial" w:cs="Arial"/>
          <w:color w:val="000000" w:themeColor="text1"/>
          <w:sz w:val="22"/>
          <w:szCs w:val="22"/>
        </w:rPr>
        <w:t>provide support for which they have little training or motivation.</w:t>
      </w:r>
    </w:p>
    <w:p w14:paraId="3364D978" w14:textId="77777777" w:rsidR="00C827AD" w:rsidRPr="00112DA7" w:rsidRDefault="00C827AD" w:rsidP="0098560F">
      <w:pPr>
        <w:pStyle w:val="NumberLevel4"/>
        <w:spacing w:before="200" w:after="0" w:line="276" w:lineRule="auto"/>
        <w:rPr>
          <w:color w:val="000000" w:themeColor="text1"/>
        </w:rPr>
      </w:pPr>
      <w:r w:rsidRPr="00112DA7">
        <w:rPr>
          <w:color w:val="000000" w:themeColor="text1"/>
        </w:rPr>
        <w:t xml:space="preserve">People with cognitive impairment at risk of engagement with criminal justice systems require </w:t>
      </w:r>
      <w:r w:rsidRPr="00112DA7">
        <w:t xml:space="preserve">early intervention in schools and other services where children and young people show signs of becoming offenders, independent support in police interviews and criminal courts so that people with cognitive impairment are able to understand and exercise their rights, court diversion systems for young people and adults with cognitive impairment and </w:t>
      </w:r>
      <w:r w:rsidRPr="00112DA7">
        <w:rPr>
          <w:color w:val="000000" w:themeColor="text1"/>
        </w:rPr>
        <w:t xml:space="preserve">enhanced practice in skill development </w:t>
      </w:r>
      <w:r w:rsidR="00EE3D54" w:rsidRPr="00112DA7">
        <w:rPr>
          <w:color w:val="000000" w:themeColor="text1"/>
        </w:rPr>
        <w:t xml:space="preserve">for </w:t>
      </w:r>
      <w:r w:rsidRPr="00112DA7">
        <w:t>correctional systems in working with offenders with intellectual disability.</w:t>
      </w:r>
    </w:p>
    <w:p w14:paraId="3EF7A197" w14:textId="0C989D90" w:rsidR="00C827AD" w:rsidRPr="00112DA7" w:rsidRDefault="00C827AD" w:rsidP="0098560F">
      <w:pPr>
        <w:spacing w:before="200" w:after="0"/>
        <w:rPr>
          <w:rFonts w:cs="Arial"/>
        </w:rPr>
      </w:pPr>
      <w:r w:rsidRPr="00112DA7">
        <w:rPr>
          <w:rFonts w:cs="Arial"/>
        </w:rPr>
        <w:t>Key actions recommended for the next Strategy require State and Territory Governments to develop and resource an infrastructure of services that support offenders with disability including justice advocacy services, diversionary programs for people with cognitive disability, intensive case coordination and clinical teamwork</w:t>
      </w:r>
      <w:r w:rsidR="00ED76F0" w:rsidRPr="00112DA7">
        <w:rPr>
          <w:rFonts w:cs="Arial"/>
        </w:rPr>
        <w:t>;</w:t>
      </w:r>
      <w:r w:rsidRPr="00112DA7">
        <w:rPr>
          <w:rFonts w:cs="Arial"/>
        </w:rPr>
        <w:t xml:space="preserve"> additional support units in corrections facilities and psychological and other services in Juvenile Justice.</w:t>
      </w:r>
    </w:p>
    <w:p w14:paraId="3CFF0542" w14:textId="77777777" w:rsidR="00C827AD" w:rsidRPr="00112DA7" w:rsidRDefault="00C827AD" w:rsidP="0098560F">
      <w:pPr>
        <w:pStyle w:val="Heading3"/>
        <w:spacing w:before="200" w:line="276" w:lineRule="auto"/>
        <w:rPr>
          <w:rFonts w:cs="Arial"/>
          <w:sz w:val="22"/>
          <w:szCs w:val="22"/>
        </w:rPr>
      </w:pPr>
      <w:bookmarkStart w:id="32" w:name="_Toc58311342"/>
      <w:r w:rsidRPr="00112DA7">
        <w:rPr>
          <w:rFonts w:cs="Arial"/>
          <w:sz w:val="22"/>
          <w:szCs w:val="22"/>
        </w:rPr>
        <w:t>Domestic and family violence</w:t>
      </w:r>
      <w:bookmarkEnd w:id="32"/>
    </w:p>
    <w:p w14:paraId="1E7981EE" w14:textId="77777777" w:rsidR="00C827AD" w:rsidRPr="00112DA7" w:rsidRDefault="00C827AD" w:rsidP="0098560F">
      <w:pPr>
        <w:spacing w:before="200" w:after="0"/>
        <w:rPr>
          <w:rFonts w:cs="Arial"/>
          <w:color w:val="000000" w:themeColor="text1"/>
        </w:rPr>
      </w:pPr>
      <w:r w:rsidRPr="00112DA7">
        <w:rPr>
          <w:rFonts w:cs="Arial"/>
          <w:color w:val="000000" w:themeColor="text1"/>
        </w:rPr>
        <w:t xml:space="preserve">Women with disability are often unaware of their rights and unable to access support in a timely way because information about sexual and safety rights is often not provided to people with disability and generic community information campaigns are not accessible to or targeted at women with disability. In addition, some women with disability have never accessed disability supports, having been denied access by partners and families as a form of control or even as assumed protective measures. </w:t>
      </w:r>
    </w:p>
    <w:p w14:paraId="367A4FD8" w14:textId="77777777" w:rsidR="00C827AD" w:rsidRPr="00112DA7" w:rsidRDefault="00C827AD" w:rsidP="0098560F">
      <w:pPr>
        <w:spacing w:before="200" w:after="0"/>
        <w:rPr>
          <w:rFonts w:cs="Arial"/>
          <w:color w:val="000000" w:themeColor="text1"/>
        </w:rPr>
      </w:pPr>
      <w:r w:rsidRPr="00112DA7">
        <w:rPr>
          <w:rFonts w:cs="Arial"/>
        </w:rPr>
        <w:t xml:space="preserve">Supports and services across Australia vary widely. There is often however the common presumption that the victim survivor must leave the property with </w:t>
      </w:r>
      <w:r w:rsidRPr="00112DA7">
        <w:rPr>
          <w:rFonts w:cs="Arial"/>
          <w:color w:val="000000" w:themeColor="text1"/>
          <w:lang w:val="en-US"/>
        </w:rPr>
        <w:t>the shortage</w:t>
      </w:r>
      <w:r w:rsidRPr="00112DA7">
        <w:rPr>
          <w:rFonts w:cs="Arial"/>
          <w:color w:val="000000" w:themeColor="text1"/>
        </w:rPr>
        <w:t xml:space="preserve"> of responsive crisis accommodation making this a challenge for many women with disability.</w:t>
      </w:r>
    </w:p>
    <w:p w14:paraId="0D55D6C8" w14:textId="77777777" w:rsidR="00C827AD" w:rsidRPr="00112DA7" w:rsidRDefault="00C827AD" w:rsidP="0098560F">
      <w:pPr>
        <w:spacing w:before="200" w:after="0"/>
        <w:rPr>
          <w:rFonts w:cs="Arial"/>
        </w:rPr>
      </w:pPr>
      <w:r w:rsidRPr="00112DA7">
        <w:rPr>
          <w:rFonts w:cs="Arial"/>
        </w:rPr>
        <w:t xml:space="preserve">Key actions recommended for the next Strategy include </w:t>
      </w:r>
      <w:r w:rsidRPr="00112DA7">
        <w:rPr>
          <w:rFonts w:cs="Arial"/>
          <w:color w:val="000000" w:themeColor="text1"/>
        </w:rPr>
        <w:t xml:space="preserve">ensuring that the </w:t>
      </w:r>
      <w:r w:rsidRPr="00112DA7">
        <w:rPr>
          <w:rFonts w:cs="Arial"/>
          <w:i/>
          <w:iCs/>
          <w:color w:val="000000" w:themeColor="text1"/>
        </w:rPr>
        <w:t xml:space="preserve">National Plan to Reduce Violence Against Women and their Children </w:t>
      </w:r>
      <w:r w:rsidRPr="00112DA7">
        <w:rPr>
          <w:rFonts w:cs="Arial"/>
          <w:color w:val="000000" w:themeColor="text1"/>
        </w:rPr>
        <w:t xml:space="preserve">is inclusive of all forms of gender-based violence, regardless of the setting and the perpetrators of such violence; that gender-based </w:t>
      </w:r>
      <w:r w:rsidRPr="00112DA7">
        <w:rPr>
          <w:rFonts w:cs="Arial"/>
          <w:color w:val="000000" w:themeColor="text1"/>
        </w:rPr>
        <w:lastRenderedPageBreak/>
        <w:t xml:space="preserve">violence services are inclusive of and responsive to women and girls with disability, and women with children with disability; that flexible support is increased; that the presumption that the victim survivor must leave the property is challenged and that barriers to crisis supported accommodation are removed. Additional resources are also required to support </w:t>
      </w:r>
      <w:proofErr w:type="spellStart"/>
      <w:r w:rsidRPr="00112DA7">
        <w:rPr>
          <w:rFonts w:cs="Arial"/>
          <w:color w:val="000000" w:themeColor="text1"/>
        </w:rPr>
        <w:t>DPOs</w:t>
      </w:r>
      <w:proofErr w:type="spellEnd"/>
      <w:r w:rsidRPr="00112DA7">
        <w:rPr>
          <w:rFonts w:cs="Arial"/>
          <w:color w:val="000000" w:themeColor="text1"/>
        </w:rPr>
        <w:t xml:space="preserve"> to develop and implement initiatives to address violence against women with disability.</w:t>
      </w:r>
      <w:r w:rsidRPr="00112DA7">
        <w:rPr>
          <w:rFonts w:cs="Arial"/>
        </w:rPr>
        <w:t xml:space="preserve"> </w:t>
      </w:r>
    </w:p>
    <w:p w14:paraId="311D6ACF" w14:textId="77777777" w:rsidR="006008B9" w:rsidRPr="0098560F" w:rsidRDefault="006008B9" w:rsidP="0098560F">
      <w:pPr>
        <w:pStyle w:val="Heading2"/>
        <w:spacing w:after="0"/>
        <w:rPr>
          <w:rFonts w:eastAsia="Times" w:cs="Arial"/>
          <w:sz w:val="24"/>
        </w:rPr>
      </w:pPr>
      <w:bookmarkStart w:id="33" w:name="_Toc58311343"/>
      <w:bookmarkStart w:id="34" w:name="_Toc59113129"/>
      <w:r w:rsidRPr="0098560F">
        <w:rPr>
          <w:rFonts w:eastAsia="Times" w:cs="Arial"/>
          <w:sz w:val="24"/>
        </w:rPr>
        <w:t>Specific commentary in relation to outcomes and indicators</w:t>
      </w:r>
      <w:bookmarkEnd w:id="33"/>
      <w:bookmarkEnd w:id="34"/>
    </w:p>
    <w:p w14:paraId="50974ADC" w14:textId="77777777" w:rsidR="00C827AD" w:rsidRPr="00112DA7" w:rsidRDefault="00C827AD" w:rsidP="00D97E6F">
      <w:pPr>
        <w:pStyle w:val="ListParagraph"/>
        <w:rPr>
          <w:sz w:val="22"/>
          <w:lang w:eastAsia="en-AU"/>
        </w:rPr>
      </w:pPr>
      <w:r w:rsidRPr="00112DA7">
        <w:rPr>
          <w:sz w:val="22"/>
          <w:lang w:eastAsia="en-AU"/>
        </w:rPr>
        <w:t>Ensure that</w:t>
      </w:r>
      <w:r w:rsidR="00795F0A" w:rsidRPr="00112DA7">
        <w:rPr>
          <w:sz w:val="22"/>
          <w:lang w:eastAsia="en-AU"/>
        </w:rPr>
        <w:t xml:space="preserve"> measures </w:t>
      </w:r>
      <w:r w:rsidR="00115F38" w:rsidRPr="00112DA7">
        <w:rPr>
          <w:sz w:val="22"/>
          <w:lang w:eastAsia="en-AU"/>
        </w:rPr>
        <w:t>in relation to</w:t>
      </w:r>
      <w:r w:rsidR="00795F0A" w:rsidRPr="00112DA7">
        <w:rPr>
          <w:sz w:val="22"/>
          <w:lang w:eastAsia="en-AU"/>
        </w:rPr>
        <w:t xml:space="preserve"> access to justice</w:t>
      </w:r>
      <w:r w:rsidRPr="00112DA7">
        <w:rPr>
          <w:sz w:val="22"/>
          <w:lang w:eastAsia="en-AU"/>
        </w:rPr>
        <w:t xml:space="preserve"> include</w:t>
      </w:r>
      <w:r w:rsidR="00795F0A" w:rsidRPr="00112DA7">
        <w:rPr>
          <w:sz w:val="22"/>
          <w:lang w:eastAsia="en-AU"/>
        </w:rPr>
        <w:t xml:space="preserve">: </w:t>
      </w:r>
    </w:p>
    <w:p w14:paraId="571FB496" w14:textId="77777777" w:rsidR="00C827AD" w:rsidRPr="00112DA7" w:rsidRDefault="00795F0A" w:rsidP="0098560F">
      <w:pPr>
        <w:numPr>
          <w:ilvl w:val="1"/>
          <w:numId w:val="14"/>
        </w:numPr>
        <w:spacing w:before="200" w:after="0"/>
        <w:textAlignment w:val="center"/>
        <w:rPr>
          <w:rFonts w:eastAsia="Times New Roman" w:cs="Arial"/>
          <w:lang w:eastAsia="en-AU"/>
        </w:rPr>
      </w:pPr>
      <w:r w:rsidRPr="00112DA7">
        <w:rPr>
          <w:rFonts w:eastAsia="Times New Roman" w:cs="Arial"/>
          <w:lang w:eastAsia="en-AU"/>
        </w:rPr>
        <w:t>p</w:t>
      </w:r>
      <w:r w:rsidR="00C827AD" w:rsidRPr="00112DA7">
        <w:rPr>
          <w:rFonts w:eastAsia="Times New Roman" w:cs="Arial"/>
          <w:lang w:eastAsia="en-AU"/>
        </w:rPr>
        <w:t>eople with disability</w:t>
      </w:r>
      <w:r w:rsidRPr="00112DA7">
        <w:rPr>
          <w:rFonts w:eastAsia="Times New Roman" w:cs="Arial"/>
          <w:lang w:eastAsia="en-AU"/>
        </w:rPr>
        <w:t xml:space="preserve"> having their statements taken</w:t>
      </w:r>
      <w:r w:rsidR="00C827AD" w:rsidRPr="00112DA7">
        <w:rPr>
          <w:rFonts w:eastAsia="Times New Roman" w:cs="Arial"/>
          <w:lang w:eastAsia="en-AU"/>
        </w:rPr>
        <w:t xml:space="preserve"> </w:t>
      </w:r>
      <w:r w:rsidRPr="00112DA7">
        <w:rPr>
          <w:rFonts w:eastAsia="Times New Roman" w:cs="Arial"/>
          <w:lang w:eastAsia="en-AU"/>
        </w:rPr>
        <w:t>/</w:t>
      </w:r>
      <w:r w:rsidR="00C827AD" w:rsidRPr="00112DA7">
        <w:rPr>
          <w:rFonts w:eastAsia="Times New Roman" w:cs="Arial"/>
          <w:lang w:eastAsia="en-AU"/>
        </w:rPr>
        <w:t xml:space="preserve"> </w:t>
      </w:r>
      <w:r w:rsidRPr="00112DA7">
        <w:rPr>
          <w:rFonts w:eastAsia="Times New Roman" w:cs="Arial"/>
          <w:lang w:eastAsia="en-AU"/>
        </w:rPr>
        <w:t>get into court</w:t>
      </w:r>
      <w:r w:rsidR="00C827AD" w:rsidRPr="00112DA7">
        <w:rPr>
          <w:rFonts w:eastAsia="Times New Roman" w:cs="Arial"/>
          <w:lang w:eastAsia="en-AU"/>
        </w:rPr>
        <w:t xml:space="preserve"> </w:t>
      </w:r>
      <w:r w:rsidRPr="00112DA7">
        <w:rPr>
          <w:rFonts w:eastAsia="Times New Roman" w:cs="Arial"/>
          <w:lang w:eastAsia="en-AU"/>
        </w:rPr>
        <w:t>/</w:t>
      </w:r>
      <w:r w:rsidR="00C827AD" w:rsidRPr="00112DA7">
        <w:rPr>
          <w:rFonts w:eastAsia="Times New Roman" w:cs="Arial"/>
          <w:lang w:eastAsia="en-AU"/>
        </w:rPr>
        <w:t xml:space="preserve"> </w:t>
      </w:r>
      <w:r w:rsidRPr="00112DA7">
        <w:rPr>
          <w:rFonts w:eastAsia="Times New Roman" w:cs="Arial"/>
          <w:lang w:eastAsia="en-AU"/>
        </w:rPr>
        <w:t>being supported through court system</w:t>
      </w:r>
      <w:r w:rsidR="00C827AD" w:rsidRPr="00112DA7">
        <w:rPr>
          <w:rFonts w:eastAsia="Times New Roman" w:cs="Arial"/>
          <w:lang w:eastAsia="en-AU"/>
        </w:rPr>
        <w:t xml:space="preserve"> </w:t>
      </w:r>
      <w:r w:rsidRPr="00112DA7">
        <w:rPr>
          <w:rFonts w:eastAsia="Times New Roman" w:cs="Arial"/>
          <w:lang w:eastAsia="en-AU"/>
        </w:rPr>
        <w:t>/</w:t>
      </w:r>
      <w:r w:rsidR="00C827AD" w:rsidRPr="00112DA7">
        <w:rPr>
          <w:rFonts w:eastAsia="Times New Roman" w:cs="Arial"/>
          <w:lang w:eastAsia="en-AU"/>
        </w:rPr>
        <w:t xml:space="preserve"> </w:t>
      </w:r>
      <w:r w:rsidRPr="00112DA7">
        <w:rPr>
          <w:rFonts w:eastAsia="Times New Roman" w:cs="Arial"/>
          <w:lang w:eastAsia="en-AU"/>
        </w:rPr>
        <w:t xml:space="preserve">% </w:t>
      </w:r>
      <w:r w:rsidR="00C827AD" w:rsidRPr="00112DA7">
        <w:rPr>
          <w:rFonts w:eastAsia="Times New Roman" w:cs="Arial"/>
          <w:lang w:eastAsia="en-AU"/>
        </w:rPr>
        <w:t xml:space="preserve">advisors as people with disability / % of </w:t>
      </w:r>
      <w:r w:rsidRPr="00112DA7">
        <w:rPr>
          <w:rFonts w:eastAsia="Times New Roman" w:cs="Arial"/>
          <w:lang w:eastAsia="en-AU"/>
        </w:rPr>
        <w:t>women with disability having their children removed</w:t>
      </w:r>
    </w:p>
    <w:p w14:paraId="765FB016" w14:textId="77777777" w:rsidR="00795F0A" w:rsidRPr="00112DA7" w:rsidRDefault="00C827AD" w:rsidP="0098560F">
      <w:pPr>
        <w:numPr>
          <w:ilvl w:val="1"/>
          <w:numId w:val="14"/>
        </w:numPr>
        <w:spacing w:before="200" w:after="0"/>
        <w:textAlignment w:val="center"/>
        <w:rPr>
          <w:rFonts w:eastAsia="Times New Roman" w:cs="Arial"/>
          <w:lang w:eastAsia="en-AU"/>
        </w:rPr>
      </w:pPr>
      <w:r w:rsidRPr="00112DA7">
        <w:rPr>
          <w:rFonts w:eastAsia="Times New Roman" w:cs="Arial"/>
          <w:lang w:eastAsia="en-AU"/>
        </w:rPr>
        <w:t>e</w:t>
      </w:r>
      <w:r w:rsidR="00795F0A" w:rsidRPr="00112DA7">
        <w:rPr>
          <w:rFonts w:eastAsia="Times New Roman" w:cs="Arial"/>
          <w:lang w:eastAsia="en-AU"/>
        </w:rPr>
        <w:t xml:space="preserve">very police report taken must record disability </w:t>
      </w:r>
    </w:p>
    <w:p w14:paraId="4FF334C7" w14:textId="77777777" w:rsidR="00C827AD" w:rsidRPr="00112DA7" w:rsidRDefault="008A25EB" w:rsidP="0098560F">
      <w:pPr>
        <w:numPr>
          <w:ilvl w:val="1"/>
          <w:numId w:val="14"/>
        </w:numPr>
        <w:spacing w:before="200" w:after="0"/>
        <w:textAlignment w:val="center"/>
        <w:rPr>
          <w:rFonts w:eastAsia="Times New Roman" w:cs="Arial"/>
          <w:lang w:eastAsia="en-AU"/>
        </w:rPr>
      </w:pPr>
      <w:r w:rsidRPr="00112DA7">
        <w:rPr>
          <w:rFonts w:eastAsia="Times New Roman" w:cs="Arial"/>
          <w:lang w:eastAsia="en-AU"/>
        </w:rPr>
        <w:t>percentage</w:t>
      </w:r>
      <w:r w:rsidR="00795F0A" w:rsidRPr="00112DA7">
        <w:rPr>
          <w:rFonts w:eastAsia="Times New Roman" w:cs="Arial"/>
          <w:lang w:eastAsia="en-AU"/>
        </w:rPr>
        <w:t xml:space="preserve"> of prisoners who have </w:t>
      </w:r>
      <w:r w:rsidR="00C827AD" w:rsidRPr="00112DA7">
        <w:rPr>
          <w:rFonts w:eastAsia="Times New Roman" w:cs="Arial"/>
          <w:lang w:eastAsia="en-AU"/>
        </w:rPr>
        <w:t xml:space="preserve">intellectual disability, cognitive impairment or psychosocial disability </w:t>
      </w:r>
      <w:r w:rsidR="00795F0A" w:rsidRPr="00112DA7">
        <w:rPr>
          <w:rFonts w:eastAsia="Times New Roman" w:cs="Arial"/>
          <w:lang w:eastAsia="en-AU"/>
        </w:rPr>
        <w:t xml:space="preserve"> </w:t>
      </w:r>
    </w:p>
    <w:p w14:paraId="403C88A4" w14:textId="77777777" w:rsidR="00CC361C" w:rsidRPr="00112DA7" w:rsidRDefault="008A25EB" w:rsidP="0098560F">
      <w:pPr>
        <w:numPr>
          <w:ilvl w:val="1"/>
          <w:numId w:val="14"/>
        </w:numPr>
        <w:spacing w:before="200" w:after="0"/>
        <w:textAlignment w:val="center"/>
        <w:rPr>
          <w:rFonts w:eastAsia="Times New Roman" w:cs="Arial"/>
          <w:lang w:eastAsia="en-AU"/>
        </w:rPr>
      </w:pPr>
      <w:r w:rsidRPr="00112DA7">
        <w:rPr>
          <w:rFonts w:eastAsia="Times New Roman" w:cs="Arial"/>
          <w:lang w:eastAsia="en-AU"/>
        </w:rPr>
        <w:t>p</w:t>
      </w:r>
      <w:r w:rsidR="00C827AD" w:rsidRPr="00112DA7">
        <w:rPr>
          <w:rFonts w:eastAsia="Times New Roman" w:cs="Arial"/>
          <w:lang w:eastAsia="en-AU"/>
        </w:rPr>
        <w:t>eople with disability w</w:t>
      </w:r>
      <w:r w:rsidR="00795F0A" w:rsidRPr="00112DA7">
        <w:rPr>
          <w:rFonts w:eastAsia="Times New Roman" w:cs="Arial"/>
          <w:lang w:eastAsia="en-AU"/>
        </w:rPr>
        <w:t xml:space="preserve">ho have been identified, </w:t>
      </w:r>
      <w:r w:rsidR="00C827AD" w:rsidRPr="00112DA7">
        <w:rPr>
          <w:rFonts w:eastAsia="Times New Roman" w:cs="Arial"/>
          <w:lang w:eastAsia="en-AU"/>
        </w:rPr>
        <w:t xml:space="preserve">diverted from the criminal justice system or </w:t>
      </w:r>
      <w:r w:rsidR="00795F0A" w:rsidRPr="00112DA7">
        <w:rPr>
          <w:rFonts w:eastAsia="Times New Roman" w:cs="Arial"/>
          <w:lang w:eastAsia="en-AU"/>
        </w:rPr>
        <w:t xml:space="preserve">redirected </w:t>
      </w:r>
      <w:r w:rsidR="00C827AD" w:rsidRPr="00112DA7">
        <w:rPr>
          <w:rFonts w:eastAsia="Times New Roman" w:cs="Arial"/>
          <w:lang w:eastAsia="en-AU"/>
        </w:rPr>
        <w:t>to non-custodial order</w:t>
      </w:r>
      <w:r w:rsidR="00795F0A" w:rsidRPr="00112DA7">
        <w:rPr>
          <w:rFonts w:eastAsia="Times New Roman" w:cs="Arial"/>
          <w:lang w:eastAsia="en-AU"/>
        </w:rPr>
        <w:t xml:space="preserve"> </w:t>
      </w:r>
    </w:p>
    <w:p w14:paraId="6D52C6F4" w14:textId="290AB368" w:rsidR="00CC361C" w:rsidRPr="0098560F" w:rsidRDefault="00CC361C" w:rsidP="0098560F">
      <w:pPr>
        <w:pStyle w:val="Heading1"/>
        <w:spacing w:before="200"/>
        <w:rPr>
          <w:rFonts w:cs="Arial"/>
          <w:sz w:val="28"/>
        </w:rPr>
      </w:pPr>
      <w:bookmarkStart w:id="35" w:name="_Toc58311344"/>
      <w:bookmarkStart w:id="36" w:name="_Toc59113130"/>
      <w:r w:rsidRPr="0098560F">
        <w:rPr>
          <w:rFonts w:cs="Arial"/>
          <w:sz w:val="28"/>
          <w:lang w:eastAsia="en-AU"/>
        </w:rPr>
        <w:t>Learning and skills</w:t>
      </w:r>
      <w:bookmarkEnd w:id="35"/>
      <w:bookmarkEnd w:id="36"/>
    </w:p>
    <w:p w14:paraId="1BA77481" w14:textId="77777777" w:rsidR="0080209E" w:rsidRPr="00112DA7" w:rsidRDefault="0080209E" w:rsidP="0098560F">
      <w:pPr>
        <w:spacing w:before="200" w:after="0"/>
        <w:rPr>
          <w:rFonts w:eastAsia="Times" w:cs="Arial"/>
        </w:rPr>
      </w:pPr>
      <w:r w:rsidRPr="00112DA7">
        <w:rPr>
          <w:rFonts w:eastAsia="Times" w:cs="Arial"/>
        </w:rPr>
        <w:t>Learning and skills are challenging areas for the development and monitoring of outcomes because it is a domain in which there is no commonality of language and many jurisdictions appear to deliberately divert measurement, for example by describing all schools (including support classes and schools for specific purpose (</w:t>
      </w:r>
      <w:proofErr w:type="spellStart"/>
      <w:r w:rsidRPr="00112DA7">
        <w:rPr>
          <w:rFonts w:eastAsia="Times" w:cs="Arial"/>
        </w:rPr>
        <w:t>SSPs</w:t>
      </w:r>
      <w:proofErr w:type="spellEnd"/>
      <w:r w:rsidRPr="00112DA7">
        <w:rPr>
          <w:rFonts w:eastAsia="Times" w:cs="Arial"/>
        </w:rPr>
        <w:t xml:space="preserve">) as inclusive. </w:t>
      </w:r>
    </w:p>
    <w:p w14:paraId="022D4811" w14:textId="77777777" w:rsidR="0080209E" w:rsidRPr="00112DA7" w:rsidRDefault="0080209E" w:rsidP="0098560F">
      <w:pPr>
        <w:spacing w:before="200" w:after="0"/>
        <w:rPr>
          <w:rFonts w:eastAsia="Times" w:cs="Arial"/>
        </w:rPr>
      </w:pPr>
      <w:r w:rsidRPr="00112DA7">
        <w:rPr>
          <w:rFonts w:eastAsia="Times" w:cs="Arial"/>
        </w:rPr>
        <w:t>This is a domain in which specific measures with behaviourally defined indicators may be required. This would mean, for example, that in the area of school education, outcomes would not indicate inclusive education but ask questions related to setting, adequacy and responsiveness of support and feeling of welcoming / belonging.</w:t>
      </w:r>
    </w:p>
    <w:p w14:paraId="1E32676E" w14:textId="77777777" w:rsidR="006008B9" w:rsidRPr="0098560F" w:rsidRDefault="006008B9" w:rsidP="0098560F">
      <w:pPr>
        <w:pStyle w:val="Heading2"/>
        <w:spacing w:after="0"/>
        <w:rPr>
          <w:rFonts w:eastAsia="Times" w:cs="Arial"/>
          <w:sz w:val="24"/>
        </w:rPr>
      </w:pPr>
      <w:bookmarkStart w:id="37" w:name="_Toc58311345"/>
      <w:bookmarkStart w:id="38" w:name="_Toc59113131"/>
      <w:r w:rsidRPr="0098560F">
        <w:rPr>
          <w:rFonts w:eastAsia="Times" w:cs="Arial"/>
          <w:sz w:val="24"/>
        </w:rPr>
        <w:t>Specific commentary in relation to outcomes and indicators</w:t>
      </w:r>
      <w:bookmarkEnd w:id="37"/>
      <w:bookmarkEnd w:id="38"/>
    </w:p>
    <w:p w14:paraId="0EB6A3BC" w14:textId="77777777" w:rsidR="0080209E" w:rsidRPr="00112DA7" w:rsidRDefault="0080209E" w:rsidP="0098560F">
      <w:pPr>
        <w:spacing w:before="200" w:after="0"/>
        <w:rPr>
          <w:rFonts w:eastAsia="Times" w:cs="Arial"/>
        </w:rPr>
      </w:pPr>
      <w:r w:rsidRPr="00112DA7">
        <w:rPr>
          <w:rFonts w:eastAsia="Times" w:cs="Arial"/>
        </w:rPr>
        <w:t>The indicators identified do not clearly relate to the outcome measures.</w:t>
      </w:r>
    </w:p>
    <w:p w14:paraId="0FB41354" w14:textId="30ECCA1B" w:rsidR="00150CAF" w:rsidRPr="00112DA7" w:rsidRDefault="00150CAF" w:rsidP="0098560F">
      <w:pPr>
        <w:spacing w:before="200" w:after="0"/>
        <w:rPr>
          <w:rFonts w:eastAsia="Times" w:cs="Arial"/>
        </w:rPr>
      </w:pPr>
      <w:r w:rsidRPr="00112DA7">
        <w:rPr>
          <w:rFonts w:eastAsia="Times" w:cs="Arial"/>
        </w:rPr>
        <w:t xml:space="preserve">Outcomes and indicators are required in the area of employment related education and training such as </w:t>
      </w:r>
      <w:r w:rsidR="00ED76F0" w:rsidRPr="00112DA7">
        <w:rPr>
          <w:rFonts w:eastAsia="Times" w:cs="Arial"/>
          <w:i/>
        </w:rPr>
        <w:t>‘</w:t>
      </w:r>
      <w:r w:rsidRPr="00112DA7">
        <w:rPr>
          <w:rFonts w:eastAsia="Times" w:cs="Arial"/>
          <w:i/>
        </w:rPr>
        <w:t>I have access to training to get the job I am capable of</w:t>
      </w:r>
      <w:r w:rsidR="00ED76F0" w:rsidRPr="00112DA7">
        <w:rPr>
          <w:rFonts w:eastAsia="Times" w:cs="Arial"/>
          <w:i/>
        </w:rPr>
        <w:t>’</w:t>
      </w:r>
      <w:r w:rsidRPr="00112DA7">
        <w:rPr>
          <w:rFonts w:eastAsia="Times" w:cs="Arial"/>
          <w:i/>
        </w:rPr>
        <w:t xml:space="preserve">; </w:t>
      </w:r>
      <w:r w:rsidR="00ED76F0" w:rsidRPr="00112DA7">
        <w:rPr>
          <w:rFonts w:eastAsia="Times" w:cs="Arial"/>
          <w:i/>
        </w:rPr>
        <w:t>‘</w:t>
      </w:r>
      <w:r w:rsidRPr="00112DA7">
        <w:rPr>
          <w:rFonts w:eastAsia="Times" w:cs="Arial"/>
          <w:i/>
        </w:rPr>
        <w:t>I have access to training to get a promotion and pursue a career</w:t>
      </w:r>
      <w:r w:rsidR="00ED76F0" w:rsidRPr="00112DA7">
        <w:rPr>
          <w:rFonts w:eastAsia="Times" w:cs="Arial"/>
          <w:i/>
        </w:rPr>
        <w:t>’</w:t>
      </w:r>
      <w:r w:rsidRPr="00112DA7">
        <w:rPr>
          <w:rFonts w:eastAsia="Times" w:cs="Arial"/>
        </w:rPr>
        <w:t>.</w:t>
      </w:r>
    </w:p>
    <w:p w14:paraId="0A56418E" w14:textId="77777777" w:rsidR="0080209E" w:rsidRPr="0098560F" w:rsidRDefault="0080209E" w:rsidP="0098560F">
      <w:pPr>
        <w:pStyle w:val="Heading1"/>
        <w:spacing w:before="200"/>
        <w:rPr>
          <w:rFonts w:cs="Arial"/>
          <w:sz w:val="28"/>
        </w:rPr>
      </w:pPr>
      <w:bookmarkStart w:id="39" w:name="_Toc58311346"/>
      <w:bookmarkStart w:id="40" w:name="_Toc59113132"/>
      <w:r w:rsidRPr="0098560F">
        <w:rPr>
          <w:rFonts w:cs="Arial"/>
          <w:sz w:val="28"/>
        </w:rPr>
        <w:t>Personal and community support</w:t>
      </w:r>
      <w:bookmarkEnd w:id="39"/>
      <w:bookmarkEnd w:id="40"/>
    </w:p>
    <w:p w14:paraId="2A1D955E" w14:textId="77777777" w:rsidR="0080209E" w:rsidRPr="0098560F" w:rsidRDefault="0080209E" w:rsidP="0098560F">
      <w:pPr>
        <w:pStyle w:val="Heading2"/>
        <w:spacing w:after="0"/>
        <w:rPr>
          <w:rFonts w:eastAsia="Times" w:cs="Arial"/>
          <w:sz w:val="24"/>
        </w:rPr>
      </w:pPr>
      <w:bookmarkStart w:id="41" w:name="_Toc58311347"/>
      <w:bookmarkStart w:id="42" w:name="_Toc59113133"/>
      <w:r w:rsidRPr="0098560F">
        <w:rPr>
          <w:rFonts w:eastAsia="Times" w:cs="Arial"/>
          <w:sz w:val="24"/>
        </w:rPr>
        <w:t>Specific commentary in relation to outcomes and indicators</w:t>
      </w:r>
      <w:bookmarkEnd w:id="41"/>
      <w:bookmarkEnd w:id="42"/>
    </w:p>
    <w:p w14:paraId="4BF7F424" w14:textId="4F54F2A4" w:rsidR="001814A6" w:rsidRPr="00112DA7" w:rsidRDefault="0080209E" w:rsidP="0098560F">
      <w:pPr>
        <w:pStyle w:val="ListParagraph"/>
        <w:numPr>
          <w:ilvl w:val="0"/>
          <w:numId w:val="21"/>
        </w:numPr>
        <w:spacing w:before="200" w:after="0" w:line="276" w:lineRule="auto"/>
        <w:rPr>
          <w:rFonts w:eastAsia="Times" w:cs="Arial"/>
          <w:sz w:val="22"/>
        </w:rPr>
      </w:pPr>
      <w:r w:rsidRPr="00112DA7">
        <w:rPr>
          <w:rFonts w:eastAsia="Times" w:cs="Arial"/>
          <w:sz w:val="22"/>
        </w:rPr>
        <w:t>The disti</w:t>
      </w:r>
      <w:r w:rsidR="00505E5F" w:rsidRPr="00112DA7">
        <w:rPr>
          <w:rFonts w:eastAsia="Times" w:cs="Arial"/>
          <w:sz w:val="22"/>
        </w:rPr>
        <w:t>n</w:t>
      </w:r>
      <w:r w:rsidRPr="00112DA7">
        <w:rPr>
          <w:rFonts w:eastAsia="Times" w:cs="Arial"/>
          <w:sz w:val="22"/>
        </w:rPr>
        <w:t xml:space="preserve">ction between </w:t>
      </w:r>
      <w:r w:rsidR="00306822" w:rsidRPr="00112DA7">
        <w:rPr>
          <w:rFonts w:eastAsia="Times" w:cs="Arial"/>
          <w:sz w:val="22"/>
        </w:rPr>
        <w:t>‘</w:t>
      </w:r>
      <w:r w:rsidRPr="00112DA7">
        <w:rPr>
          <w:rFonts w:eastAsia="Times" w:cs="Arial"/>
          <w:i/>
          <w:iCs/>
          <w:sz w:val="22"/>
        </w:rPr>
        <w:t>I can access specialised disability services and supports I need including NDIS for eligible participants</w:t>
      </w:r>
      <w:r w:rsidR="00306822" w:rsidRPr="00112DA7">
        <w:rPr>
          <w:rFonts w:eastAsia="Times" w:cs="Arial"/>
          <w:i/>
          <w:iCs/>
          <w:sz w:val="22"/>
        </w:rPr>
        <w:t>’</w:t>
      </w:r>
      <w:r w:rsidRPr="00112DA7">
        <w:rPr>
          <w:rFonts w:eastAsia="Times" w:cs="Arial"/>
          <w:i/>
          <w:iCs/>
          <w:sz w:val="22"/>
        </w:rPr>
        <w:t xml:space="preserve">, </w:t>
      </w:r>
      <w:r w:rsidRPr="00112DA7">
        <w:rPr>
          <w:rFonts w:eastAsia="Times" w:cs="Arial"/>
          <w:sz w:val="22"/>
        </w:rPr>
        <w:t xml:space="preserve">and </w:t>
      </w:r>
      <w:r w:rsidR="00306822" w:rsidRPr="00112DA7">
        <w:rPr>
          <w:rFonts w:eastAsia="Times" w:cs="Arial"/>
          <w:sz w:val="22"/>
        </w:rPr>
        <w:t>‘</w:t>
      </w:r>
      <w:r w:rsidRPr="00112DA7">
        <w:rPr>
          <w:rFonts w:eastAsia="Times" w:cs="Arial"/>
          <w:i/>
          <w:iCs/>
          <w:sz w:val="22"/>
        </w:rPr>
        <w:t>I can access community</w:t>
      </w:r>
      <w:r w:rsidR="001814A6" w:rsidRPr="00112DA7">
        <w:rPr>
          <w:rFonts w:eastAsia="Times" w:cs="Arial"/>
          <w:i/>
          <w:iCs/>
          <w:sz w:val="22"/>
        </w:rPr>
        <w:t>-</w:t>
      </w:r>
      <w:r w:rsidRPr="00112DA7">
        <w:rPr>
          <w:rFonts w:eastAsia="Times" w:cs="Arial"/>
          <w:i/>
          <w:iCs/>
          <w:sz w:val="22"/>
        </w:rPr>
        <w:t xml:space="preserve">based </w:t>
      </w:r>
      <w:r w:rsidR="001814A6" w:rsidRPr="00112DA7">
        <w:rPr>
          <w:rFonts w:eastAsia="Times" w:cs="Arial"/>
          <w:i/>
          <w:iCs/>
          <w:sz w:val="22"/>
        </w:rPr>
        <w:t>supports</w:t>
      </w:r>
      <w:r w:rsidR="00306822" w:rsidRPr="00112DA7">
        <w:rPr>
          <w:rFonts w:eastAsia="Times" w:cs="Arial"/>
          <w:i/>
          <w:iCs/>
          <w:sz w:val="22"/>
        </w:rPr>
        <w:t>’</w:t>
      </w:r>
      <w:r w:rsidR="001814A6" w:rsidRPr="00112DA7">
        <w:rPr>
          <w:rFonts w:eastAsia="Times" w:cs="Arial"/>
          <w:sz w:val="22"/>
        </w:rPr>
        <w:t xml:space="preserve"> will not be clear to most people with disability who do not make the distinctions between disability, community and mainstream supports in the way in which government does.</w:t>
      </w:r>
    </w:p>
    <w:p w14:paraId="025DDD60" w14:textId="77777777" w:rsidR="00115F38" w:rsidRPr="00112DA7" w:rsidRDefault="001814A6" w:rsidP="0098560F">
      <w:pPr>
        <w:pStyle w:val="ListParagraph"/>
        <w:numPr>
          <w:ilvl w:val="0"/>
          <w:numId w:val="21"/>
        </w:numPr>
        <w:spacing w:before="200" w:after="0" w:line="276" w:lineRule="auto"/>
        <w:rPr>
          <w:rFonts w:eastAsia="Times" w:cs="Arial"/>
          <w:sz w:val="22"/>
        </w:rPr>
      </w:pPr>
      <w:r w:rsidRPr="00112DA7">
        <w:rPr>
          <w:rFonts w:eastAsia="Times" w:cs="Arial"/>
          <w:sz w:val="22"/>
        </w:rPr>
        <w:lastRenderedPageBreak/>
        <w:t xml:space="preserve">Whilst co-design is a key recommendation in relation to the development of </w:t>
      </w:r>
      <w:r w:rsidR="008A25EB" w:rsidRPr="00112DA7">
        <w:rPr>
          <w:rFonts w:eastAsia="Times" w:cs="Arial"/>
          <w:sz w:val="22"/>
        </w:rPr>
        <w:t xml:space="preserve">all </w:t>
      </w:r>
      <w:r w:rsidRPr="00112DA7">
        <w:rPr>
          <w:rFonts w:eastAsia="Times" w:cs="Arial"/>
          <w:sz w:val="22"/>
        </w:rPr>
        <w:t>outcome and indicator measures, co-design is especially critical in this domain where indicators are very vague and open to different interpretations.</w:t>
      </w:r>
    </w:p>
    <w:p w14:paraId="66026C9C" w14:textId="77777777" w:rsidR="007C2D10" w:rsidRPr="0098560F" w:rsidRDefault="00115F38" w:rsidP="0098560F">
      <w:pPr>
        <w:pStyle w:val="Heading1"/>
        <w:spacing w:before="200"/>
        <w:rPr>
          <w:rFonts w:cs="Arial"/>
          <w:sz w:val="28"/>
        </w:rPr>
      </w:pPr>
      <w:bookmarkStart w:id="43" w:name="_Toc58311348"/>
      <w:bookmarkStart w:id="44" w:name="_Toc59113134"/>
      <w:r w:rsidRPr="0098560F">
        <w:rPr>
          <w:rFonts w:cs="Arial"/>
          <w:sz w:val="28"/>
        </w:rPr>
        <w:t>I</w:t>
      </w:r>
      <w:r w:rsidR="007C2D10" w:rsidRPr="0098560F">
        <w:rPr>
          <w:rFonts w:cs="Arial"/>
          <w:sz w:val="28"/>
        </w:rPr>
        <w:t>mplement</w:t>
      </w:r>
      <w:r w:rsidRPr="0098560F">
        <w:rPr>
          <w:rFonts w:cs="Arial"/>
          <w:sz w:val="28"/>
        </w:rPr>
        <w:t>ation</w:t>
      </w:r>
      <w:r w:rsidR="007C2D10" w:rsidRPr="0098560F">
        <w:rPr>
          <w:rFonts w:cs="Arial"/>
          <w:sz w:val="28"/>
        </w:rPr>
        <w:t xml:space="preserve"> </w:t>
      </w:r>
      <w:r w:rsidRPr="0098560F">
        <w:rPr>
          <w:rFonts w:cs="Arial"/>
          <w:sz w:val="28"/>
        </w:rPr>
        <w:t xml:space="preserve">of </w:t>
      </w:r>
      <w:r w:rsidR="007C2D10" w:rsidRPr="0098560F">
        <w:rPr>
          <w:rFonts w:cs="Arial"/>
          <w:sz w:val="28"/>
        </w:rPr>
        <w:t xml:space="preserve">the outcomes framework to </w:t>
      </w:r>
      <w:r w:rsidRPr="0098560F">
        <w:rPr>
          <w:rFonts w:cs="Arial"/>
          <w:sz w:val="28"/>
        </w:rPr>
        <w:t xml:space="preserve">enhance the </w:t>
      </w:r>
      <w:r w:rsidR="007C2D10" w:rsidRPr="0098560F">
        <w:rPr>
          <w:rFonts w:cs="Arial"/>
          <w:sz w:val="28"/>
        </w:rPr>
        <w:t>track</w:t>
      </w:r>
      <w:r w:rsidRPr="0098560F">
        <w:rPr>
          <w:rFonts w:cs="Arial"/>
          <w:sz w:val="28"/>
        </w:rPr>
        <w:t>ing of</w:t>
      </w:r>
      <w:r w:rsidR="007C2D10" w:rsidRPr="0098560F">
        <w:rPr>
          <w:rFonts w:cs="Arial"/>
          <w:sz w:val="28"/>
        </w:rPr>
        <w:t xml:space="preserve"> effectiveness</w:t>
      </w:r>
      <w:bookmarkEnd w:id="43"/>
      <w:bookmarkEnd w:id="44"/>
      <w:r w:rsidR="007C2D10" w:rsidRPr="0098560F">
        <w:rPr>
          <w:rFonts w:cs="Arial"/>
          <w:sz w:val="28"/>
        </w:rPr>
        <w:t xml:space="preserve"> </w:t>
      </w:r>
    </w:p>
    <w:p w14:paraId="060D9A7C" w14:textId="77777777" w:rsidR="007C2D10" w:rsidRPr="00112DA7" w:rsidRDefault="007C2D10" w:rsidP="0098560F">
      <w:pPr>
        <w:spacing w:before="200" w:after="0"/>
        <w:rPr>
          <w:rStyle w:val="Heading3Char"/>
          <w:rFonts w:cs="Arial"/>
        </w:rPr>
      </w:pPr>
      <w:r w:rsidRPr="00112DA7">
        <w:rPr>
          <w:rFonts w:cs="Arial"/>
        </w:rPr>
        <w:t xml:space="preserve">Leadership in government is critical to demonstrate that the implementation of the National Disability Strategy is core serious business of government. With the review of the Disability Reform Council and consideration of future Ministerial structures, the Strategy will potentially be without leadership and oversight at the highest level. The early replacement of the decision-making structure will be critical to demonstrate an affirmation by governments to actively lead and contribute to effective governance structures at a time when various inquiries are highlighting systematic challenges. </w:t>
      </w:r>
      <w:r w:rsidRPr="00112DA7">
        <w:rPr>
          <w:rStyle w:val="Heading3Char"/>
          <w:rFonts w:cs="Arial"/>
        </w:rPr>
        <w:t xml:space="preserve"> </w:t>
      </w:r>
    </w:p>
    <w:p w14:paraId="52EC2A30" w14:textId="2AF8A10D" w:rsidR="007C2D10" w:rsidRPr="00112DA7" w:rsidRDefault="007C2D10" w:rsidP="0098560F">
      <w:pPr>
        <w:spacing w:before="200" w:after="0"/>
        <w:rPr>
          <w:rFonts w:cs="Arial"/>
        </w:rPr>
      </w:pPr>
      <w:r w:rsidRPr="00112DA7">
        <w:rPr>
          <w:rFonts w:cs="Arial"/>
        </w:rPr>
        <w:t xml:space="preserve">The </w:t>
      </w:r>
      <w:r w:rsidR="00306822" w:rsidRPr="00112DA7">
        <w:rPr>
          <w:rFonts w:cs="Arial"/>
        </w:rPr>
        <w:t>Council’s</w:t>
      </w:r>
      <w:r w:rsidRPr="00112DA7">
        <w:rPr>
          <w:rFonts w:cs="Arial"/>
        </w:rPr>
        <w:t xml:space="preserve"> submission on the </w:t>
      </w:r>
      <w:r w:rsidR="00306822" w:rsidRPr="00112DA7">
        <w:rPr>
          <w:rFonts w:cs="Arial"/>
        </w:rPr>
        <w:t>NDS</w:t>
      </w:r>
      <w:r w:rsidRPr="00112DA7">
        <w:rPr>
          <w:rFonts w:cs="Arial"/>
        </w:rPr>
        <w:t xml:space="preserve"> included a number of measures to improve accountability of government for outcomes under the </w:t>
      </w:r>
      <w:r w:rsidR="00306822" w:rsidRPr="00112DA7">
        <w:rPr>
          <w:rFonts w:cs="Arial"/>
        </w:rPr>
        <w:t>NDS</w:t>
      </w:r>
      <w:r w:rsidRPr="00112DA7">
        <w:rPr>
          <w:rFonts w:cs="Arial"/>
        </w:rPr>
        <w:t>. These measures include:</w:t>
      </w:r>
    </w:p>
    <w:p w14:paraId="491B548B" w14:textId="5EBC3729" w:rsidR="00115F38" w:rsidRPr="0098560F" w:rsidRDefault="00306822" w:rsidP="0098560F">
      <w:pPr>
        <w:pStyle w:val="Heading2"/>
        <w:spacing w:after="0"/>
        <w:rPr>
          <w:rFonts w:cs="Arial"/>
          <w:sz w:val="24"/>
        </w:rPr>
      </w:pPr>
      <w:bookmarkStart w:id="45" w:name="_Toc58311349"/>
      <w:bookmarkStart w:id="46" w:name="_Toc59113135"/>
      <w:r w:rsidRPr="0098560F">
        <w:rPr>
          <w:rFonts w:cs="Arial"/>
          <w:sz w:val="24"/>
        </w:rPr>
        <w:t>Co-design the NDS and o</w:t>
      </w:r>
      <w:r w:rsidR="00115F38" w:rsidRPr="0098560F">
        <w:rPr>
          <w:rFonts w:cs="Arial"/>
          <w:sz w:val="24"/>
        </w:rPr>
        <w:t>utcomes measures with people with disability</w:t>
      </w:r>
      <w:bookmarkEnd w:id="45"/>
      <w:bookmarkEnd w:id="46"/>
    </w:p>
    <w:p w14:paraId="388741EC" w14:textId="5E1E4BE6" w:rsidR="00E10230" w:rsidRPr="00112DA7" w:rsidRDefault="00115F38" w:rsidP="0098560F">
      <w:pPr>
        <w:spacing w:before="200" w:after="0"/>
        <w:rPr>
          <w:rFonts w:cs="Arial"/>
          <w:color w:val="000000" w:themeColor="text1"/>
        </w:rPr>
      </w:pPr>
      <w:r w:rsidRPr="00112DA7">
        <w:rPr>
          <w:rFonts w:cs="Arial"/>
          <w:color w:val="000000" w:themeColor="text1"/>
        </w:rPr>
        <w:t>Council call</w:t>
      </w:r>
      <w:r w:rsidR="00306822" w:rsidRPr="00112DA7">
        <w:rPr>
          <w:rFonts w:cs="Arial"/>
          <w:color w:val="000000" w:themeColor="text1"/>
        </w:rPr>
        <w:t>s</w:t>
      </w:r>
      <w:r w:rsidRPr="00112DA7">
        <w:rPr>
          <w:rFonts w:cs="Arial"/>
          <w:color w:val="000000" w:themeColor="text1"/>
        </w:rPr>
        <w:t xml:space="preserve"> upon the Department of Prime Minister and Cabinet, State and Territory Departments of Premier and Cabinet</w:t>
      </w:r>
      <w:r w:rsidR="00E10230" w:rsidRPr="00112DA7">
        <w:rPr>
          <w:rFonts w:cs="Arial"/>
          <w:color w:val="000000" w:themeColor="text1"/>
        </w:rPr>
        <w:t>, all government departments and local government to r</w:t>
      </w:r>
      <w:r w:rsidRPr="00112DA7">
        <w:rPr>
          <w:rFonts w:cs="Arial"/>
          <w:color w:val="000000" w:themeColor="text1"/>
        </w:rPr>
        <w:t xml:space="preserve">e-establish and strengthen leadership by people with disability and </w:t>
      </w:r>
      <w:r w:rsidR="00E10230" w:rsidRPr="00112DA7">
        <w:rPr>
          <w:rFonts w:cs="Arial"/>
          <w:color w:val="000000" w:themeColor="text1"/>
        </w:rPr>
        <w:t xml:space="preserve">to strengthen the </w:t>
      </w:r>
      <w:r w:rsidRPr="00112DA7">
        <w:rPr>
          <w:rFonts w:cs="Arial"/>
          <w:color w:val="000000" w:themeColor="text1"/>
        </w:rPr>
        <w:t xml:space="preserve">capacity for co-design </w:t>
      </w:r>
      <w:r w:rsidR="00E10230" w:rsidRPr="00112DA7">
        <w:rPr>
          <w:rFonts w:cs="Arial"/>
          <w:color w:val="000000" w:themeColor="text1"/>
        </w:rPr>
        <w:t xml:space="preserve">of the </w:t>
      </w:r>
      <w:r w:rsidR="00306822" w:rsidRPr="00112DA7">
        <w:rPr>
          <w:rFonts w:cs="Arial"/>
          <w:color w:val="000000" w:themeColor="text1"/>
        </w:rPr>
        <w:t>NDS</w:t>
      </w:r>
      <w:r w:rsidR="00E10230" w:rsidRPr="00112DA7">
        <w:rPr>
          <w:rFonts w:cs="Arial"/>
          <w:color w:val="000000" w:themeColor="text1"/>
        </w:rPr>
        <w:t xml:space="preserve"> and the collection, disaggregation and publication of outcome measures related to people with disability. </w:t>
      </w:r>
    </w:p>
    <w:p w14:paraId="37F8C404" w14:textId="77777777" w:rsidR="007C2D10" w:rsidRPr="0098560F" w:rsidRDefault="007C2D10" w:rsidP="0098560F">
      <w:pPr>
        <w:pStyle w:val="Heading2"/>
        <w:spacing w:after="0"/>
        <w:rPr>
          <w:rFonts w:cs="Arial"/>
          <w:sz w:val="24"/>
        </w:rPr>
      </w:pPr>
      <w:bookmarkStart w:id="47" w:name="_Toc58311350"/>
      <w:bookmarkStart w:id="48" w:name="_Toc59113136"/>
      <w:r w:rsidRPr="0098560F">
        <w:rPr>
          <w:rFonts w:cs="Arial"/>
          <w:sz w:val="24"/>
        </w:rPr>
        <w:t>Annual report to Parliament</w:t>
      </w:r>
      <w:bookmarkEnd w:id="47"/>
      <w:bookmarkEnd w:id="48"/>
    </w:p>
    <w:p w14:paraId="5D8499A7" w14:textId="2BA9DCF5" w:rsidR="007C2D10" w:rsidRPr="00112DA7" w:rsidRDefault="00306822" w:rsidP="0098560F">
      <w:pPr>
        <w:spacing w:before="200" w:after="0"/>
        <w:rPr>
          <w:rFonts w:eastAsiaTheme="majorEastAsia" w:cs="Arial"/>
        </w:rPr>
      </w:pPr>
      <w:r w:rsidRPr="00112DA7">
        <w:rPr>
          <w:rFonts w:cs="Arial"/>
          <w:color w:val="000000" w:themeColor="text1"/>
        </w:rPr>
        <w:t>Council calls</w:t>
      </w:r>
      <w:r w:rsidR="00E10230" w:rsidRPr="00112DA7">
        <w:rPr>
          <w:rFonts w:cs="Arial"/>
          <w:color w:val="000000" w:themeColor="text1"/>
        </w:rPr>
        <w:t xml:space="preserve"> upon </w:t>
      </w:r>
      <w:r w:rsidR="00E10230" w:rsidRPr="00112DA7">
        <w:rPr>
          <w:rFonts w:eastAsiaTheme="majorEastAsia" w:cs="Arial"/>
        </w:rPr>
        <w:t>the Prime Minister and the Premiers and Chief Ministers</w:t>
      </w:r>
      <w:r w:rsidR="00E10230" w:rsidRPr="00112DA7">
        <w:rPr>
          <w:rFonts w:cs="Arial"/>
          <w:color w:val="000000" w:themeColor="text1"/>
        </w:rPr>
        <w:t xml:space="preserve"> to deliver an annual report to Parliament on the </w:t>
      </w:r>
      <w:r w:rsidR="007C2D10" w:rsidRPr="00112DA7">
        <w:rPr>
          <w:rFonts w:eastAsiaTheme="majorEastAsia" w:cs="Arial"/>
        </w:rPr>
        <w:t>achievements under the Strategy.</w:t>
      </w:r>
    </w:p>
    <w:p w14:paraId="43079175" w14:textId="77777777" w:rsidR="007C2D10" w:rsidRPr="0098560F" w:rsidRDefault="007C2D10" w:rsidP="0098560F">
      <w:pPr>
        <w:pStyle w:val="Heading2"/>
        <w:spacing w:after="0"/>
        <w:rPr>
          <w:rFonts w:cs="Arial"/>
          <w:sz w:val="24"/>
        </w:rPr>
      </w:pPr>
      <w:bookmarkStart w:id="49" w:name="_Toc58311351"/>
      <w:bookmarkStart w:id="50" w:name="_Toc59113137"/>
      <w:r w:rsidRPr="0098560F">
        <w:rPr>
          <w:rFonts w:cs="Arial"/>
          <w:sz w:val="24"/>
        </w:rPr>
        <w:t>Requirement that all legislation to be viewed through a disability lens</w:t>
      </w:r>
      <w:bookmarkEnd w:id="49"/>
      <w:bookmarkEnd w:id="50"/>
    </w:p>
    <w:p w14:paraId="29EDEE97" w14:textId="7D045A1A" w:rsidR="009158E2" w:rsidRPr="00112DA7" w:rsidRDefault="00306822" w:rsidP="00112DA7">
      <w:pPr>
        <w:spacing w:before="200" w:after="0"/>
        <w:rPr>
          <w:rFonts w:eastAsia="Times New Roman"/>
          <w:color w:val="000000" w:themeColor="text1"/>
          <w:sz w:val="24"/>
          <w:szCs w:val="26"/>
        </w:rPr>
      </w:pPr>
      <w:r w:rsidRPr="00112DA7">
        <w:rPr>
          <w:rFonts w:cs="Arial"/>
          <w:color w:val="000000" w:themeColor="text1"/>
        </w:rPr>
        <w:t>Council calls upon all National, State and Territory G</w:t>
      </w:r>
      <w:r w:rsidR="00E10230" w:rsidRPr="00112DA7">
        <w:rPr>
          <w:rFonts w:cs="Arial"/>
          <w:color w:val="000000" w:themeColor="text1"/>
        </w:rPr>
        <w:t>overnments to</w:t>
      </w:r>
      <w:r w:rsidR="007C2D10" w:rsidRPr="00112DA7">
        <w:rPr>
          <w:rFonts w:cs="Arial"/>
        </w:rPr>
        <w:t xml:space="preserve"> require all legislation to be reviewed through a lens that ascertains its impact on the inclusion and participation of people with disability </w:t>
      </w:r>
      <w:r w:rsidR="00E10230" w:rsidRPr="00112DA7">
        <w:rPr>
          <w:rFonts w:cs="Arial"/>
        </w:rPr>
        <w:t>(</w:t>
      </w:r>
      <w:r w:rsidR="007C2D10" w:rsidRPr="00112DA7">
        <w:rPr>
          <w:rFonts w:cs="Arial"/>
        </w:rPr>
        <w:t>similar to the approach used by the Victorian Charter of Human Rights to review the impact of legislation on human rights lens in Victoria</w:t>
      </w:r>
      <w:r w:rsidR="00E10230" w:rsidRPr="00112DA7">
        <w:rPr>
          <w:rFonts w:cs="Arial"/>
        </w:rPr>
        <w:t>)</w:t>
      </w:r>
      <w:r w:rsidR="007C2D10" w:rsidRPr="00112DA7">
        <w:rPr>
          <w:rFonts w:cs="Arial"/>
        </w:rPr>
        <w:t>.</w:t>
      </w:r>
      <w:bookmarkStart w:id="51" w:name="_Toc52017464"/>
      <w:bookmarkStart w:id="52" w:name="_Toc52977825"/>
      <w:bookmarkStart w:id="53" w:name="_Toc58311352"/>
    </w:p>
    <w:p w14:paraId="5B071329" w14:textId="555E9E5B" w:rsidR="007C2D10" w:rsidRPr="0098560F" w:rsidRDefault="007C2D10" w:rsidP="0098560F">
      <w:pPr>
        <w:pStyle w:val="Heading2"/>
        <w:spacing w:after="0"/>
        <w:rPr>
          <w:rFonts w:cs="Arial"/>
          <w:sz w:val="24"/>
        </w:rPr>
      </w:pPr>
      <w:bookmarkStart w:id="54" w:name="_Toc59113138"/>
      <w:r w:rsidRPr="0098560F">
        <w:rPr>
          <w:rFonts w:cs="Arial"/>
          <w:sz w:val="24"/>
        </w:rPr>
        <w:t>Commitments of the National Disability Agreement into all Commonwealth–State Agreements</w:t>
      </w:r>
      <w:bookmarkEnd w:id="51"/>
      <w:bookmarkEnd w:id="52"/>
      <w:bookmarkEnd w:id="53"/>
      <w:bookmarkEnd w:id="54"/>
    </w:p>
    <w:p w14:paraId="3976F2C6" w14:textId="298DD52B" w:rsidR="007C2D10" w:rsidRPr="00112DA7" w:rsidRDefault="00306822" w:rsidP="0098560F">
      <w:pPr>
        <w:spacing w:before="200" w:after="0"/>
        <w:rPr>
          <w:rFonts w:cs="Arial"/>
        </w:rPr>
      </w:pPr>
      <w:r w:rsidRPr="00112DA7">
        <w:rPr>
          <w:rFonts w:cs="Arial"/>
        </w:rPr>
        <w:t>Council calls</w:t>
      </w:r>
      <w:r w:rsidR="00E10230" w:rsidRPr="00112DA7">
        <w:rPr>
          <w:rFonts w:cs="Arial"/>
        </w:rPr>
        <w:t xml:space="preserve"> upon the Department of Prime Minister and Cabinet to </w:t>
      </w:r>
      <w:r w:rsidR="007C2D10" w:rsidRPr="00112DA7">
        <w:rPr>
          <w:rFonts w:cs="Arial"/>
        </w:rPr>
        <w:t>support the proposal of the Productivity Commission into the National Disability Agreement</w:t>
      </w:r>
      <w:r w:rsidR="00E10230" w:rsidRPr="00112DA7">
        <w:rPr>
          <w:rFonts w:cs="Arial"/>
        </w:rPr>
        <w:t>, that commitments and obligations of governments under the new National Disability Agreement be reflected in the other Commonwealth–State Agreements (including National Partnerships).</w:t>
      </w:r>
      <w:r w:rsidR="00E10230" w:rsidRPr="00112DA7">
        <w:rPr>
          <w:rStyle w:val="FootnoteReference"/>
          <w:rFonts w:cs="Arial"/>
        </w:rPr>
        <w:footnoteReference w:id="3"/>
      </w:r>
    </w:p>
    <w:p w14:paraId="234C5878" w14:textId="77777777" w:rsidR="007C2D10" w:rsidRPr="0098560F" w:rsidRDefault="007C2D10" w:rsidP="0098560F">
      <w:pPr>
        <w:pStyle w:val="Heading2"/>
        <w:spacing w:after="0"/>
        <w:rPr>
          <w:rFonts w:cs="Arial"/>
          <w:sz w:val="24"/>
        </w:rPr>
      </w:pPr>
      <w:bookmarkStart w:id="55" w:name="_Toc52017466"/>
      <w:bookmarkStart w:id="56" w:name="_Toc52977827"/>
      <w:bookmarkStart w:id="57" w:name="_Toc58311353"/>
      <w:bookmarkStart w:id="58" w:name="_Toc59113139"/>
      <w:r w:rsidRPr="0098560F">
        <w:rPr>
          <w:rFonts w:cs="Arial"/>
          <w:sz w:val="24"/>
        </w:rPr>
        <w:t>Collection, dissemination and reporting on data</w:t>
      </w:r>
      <w:bookmarkEnd w:id="55"/>
      <w:bookmarkEnd w:id="56"/>
      <w:r w:rsidRPr="0098560F">
        <w:rPr>
          <w:rFonts w:cs="Arial"/>
          <w:sz w:val="24"/>
        </w:rPr>
        <w:t xml:space="preserve"> that reflect changes in outcomes</w:t>
      </w:r>
      <w:bookmarkEnd w:id="57"/>
      <w:bookmarkEnd w:id="58"/>
    </w:p>
    <w:p w14:paraId="42EAB275" w14:textId="7BE6762A" w:rsidR="007C2D10" w:rsidRPr="00112DA7" w:rsidRDefault="007C2D10" w:rsidP="0098560F">
      <w:pPr>
        <w:spacing w:before="200" w:after="0"/>
        <w:rPr>
          <w:rFonts w:cs="Arial"/>
        </w:rPr>
      </w:pPr>
      <w:r w:rsidRPr="00112DA7">
        <w:rPr>
          <w:rFonts w:cs="Arial"/>
        </w:rPr>
        <w:lastRenderedPageBreak/>
        <w:t xml:space="preserve">Council </w:t>
      </w:r>
      <w:r w:rsidR="00E10230" w:rsidRPr="00112DA7">
        <w:rPr>
          <w:rFonts w:cs="Arial"/>
        </w:rPr>
        <w:t>recommend</w:t>
      </w:r>
      <w:r w:rsidR="00306822" w:rsidRPr="00112DA7">
        <w:rPr>
          <w:rFonts w:cs="Arial"/>
        </w:rPr>
        <w:t>s</w:t>
      </w:r>
      <w:r w:rsidR="00E10230" w:rsidRPr="00112DA7">
        <w:rPr>
          <w:rFonts w:cs="Arial"/>
        </w:rPr>
        <w:t xml:space="preserve"> that:</w:t>
      </w:r>
    </w:p>
    <w:p w14:paraId="40CD1B8E" w14:textId="77777777" w:rsidR="00955AD4" w:rsidRPr="00112DA7" w:rsidRDefault="00955AD4" w:rsidP="0098560F">
      <w:pPr>
        <w:pStyle w:val="ListParagraph"/>
        <w:numPr>
          <w:ilvl w:val="0"/>
          <w:numId w:val="15"/>
        </w:numPr>
        <w:spacing w:before="200" w:after="0" w:line="276" w:lineRule="auto"/>
        <w:rPr>
          <w:rFonts w:cs="Arial"/>
          <w:sz w:val="22"/>
        </w:rPr>
      </w:pPr>
      <w:r w:rsidRPr="00112DA7">
        <w:rPr>
          <w:rFonts w:cs="Arial"/>
          <w:sz w:val="22"/>
        </w:rPr>
        <w:t>there are increased questions related to disability in the census</w:t>
      </w:r>
    </w:p>
    <w:p w14:paraId="17A6E364" w14:textId="2FAD4CEF" w:rsidR="007C2D10" w:rsidRPr="00112DA7" w:rsidRDefault="007C2D10" w:rsidP="0098560F">
      <w:pPr>
        <w:pStyle w:val="ListParagraph"/>
        <w:numPr>
          <w:ilvl w:val="0"/>
          <w:numId w:val="15"/>
        </w:numPr>
        <w:spacing w:before="200" w:after="0" w:line="276" w:lineRule="auto"/>
        <w:rPr>
          <w:rFonts w:cs="Arial"/>
          <w:sz w:val="22"/>
        </w:rPr>
      </w:pPr>
      <w:proofErr w:type="gramStart"/>
      <w:r w:rsidRPr="00112DA7">
        <w:rPr>
          <w:rFonts w:cs="Arial"/>
          <w:sz w:val="22"/>
        </w:rPr>
        <w:t>all</w:t>
      </w:r>
      <w:proofErr w:type="gramEnd"/>
      <w:r w:rsidRPr="00112DA7">
        <w:rPr>
          <w:rFonts w:cs="Arial"/>
          <w:sz w:val="22"/>
        </w:rPr>
        <w:t xml:space="preserve"> data collected is disaggregated by disability, disseminated and reported</w:t>
      </w:r>
      <w:r w:rsidR="00150CAF" w:rsidRPr="00112DA7">
        <w:rPr>
          <w:rFonts w:cs="Arial"/>
          <w:sz w:val="22"/>
        </w:rPr>
        <w:t xml:space="preserve">. This includes but is not limited to </w:t>
      </w:r>
      <w:r w:rsidR="003200E1" w:rsidRPr="00112DA7">
        <w:rPr>
          <w:rFonts w:cs="Arial"/>
          <w:sz w:val="22"/>
        </w:rPr>
        <w:t xml:space="preserve">health related data, employment and income related data, data collected by </w:t>
      </w:r>
      <w:r w:rsidR="00306822" w:rsidRPr="00112DA7">
        <w:rPr>
          <w:rFonts w:cs="Arial"/>
          <w:sz w:val="22"/>
        </w:rPr>
        <w:t>the Australian Prudential Regulation Authority (</w:t>
      </w:r>
      <w:r w:rsidR="003200E1" w:rsidRPr="00112DA7">
        <w:rPr>
          <w:rFonts w:cs="Arial"/>
          <w:sz w:val="22"/>
        </w:rPr>
        <w:t>APRA</w:t>
      </w:r>
      <w:r w:rsidR="00306822" w:rsidRPr="00112DA7">
        <w:rPr>
          <w:rFonts w:cs="Arial"/>
          <w:sz w:val="22"/>
        </w:rPr>
        <w:t>) and</w:t>
      </w:r>
      <w:r w:rsidR="003200E1" w:rsidRPr="00112DA7">
        <w:rPr>
          <w:rFonts w:cs="Arial"/>
          <w:sz w:val="22"/>
        </w:rPr>
        <w:t xml:space="preserve"> the Australian Charities Commission</w:t>
      </w:r>
    </w:p>
    <w:p w14:paraId="786E2DC5" w14:textId="77777777" w:rsidR="00F10898" w:rsidRPr="00112DA7" w:rsidRDefault="00955AD4" w:rsidP="0098560F">
      <w:pPr>
        <w:pStyle w:val="ListParagraph"/>
        <w:numPr>
          <w:ilvl w:val="0"/>
          <w:numId w:val="15"/>
        </w:numPr>
        <w:spacing w:before="200" w:after="0" w:line="276" w:lineRule="auto"/>
        <w:rPr>
          <w:rFonts w:cs="Arial"/>
          <w:sz w:val="22"/>
        </w:rPr>
      </w:pPr>
      <w:r w:rsidRPr="00112DA7">
        <w:rPr>
          <w:rFonts w:cs="Arial"/>
          <w:sz w:val="22"/>
        </w:rPr>
        <w:t>clusters of measures are developed to operationalise broad concepts such as ‘opportunity for social participation’</w:t>
      </w:r>
    </w:p>
    <w:p w14:paraId="35DED27B" w14:textId="6282FAF0" w:rsidR="007C2D10" w:rsidRPr="00112DA7" w:rsidRDefault="00E10230" w:rsidP="0098560F">
      <w:pPr>
        <w:pStyle w:val="ListParagraph"/>
        <w:numPr>
          <w:ilvl w:val="0"/>
          <w:numId w:val="15"/>
        </w:numPr>
        <w:spacing w:before="200" w:after="0" w:line="276" w:lineRule="auto"/>
        <w:rPr>
          <w:rFonts w:cs="Arial"/>
          <w:sz w:val="22"/>
        </w:rPr>
      </w:pPr>
      <w:r w:rsidRPr="00112DA7">
        <w:rPr>
          <w:rFonts w:eastAsia="Times New Roman" w:cs="Arial"/>
          <w:sz w:val="22"/>
          <w:lang w:eastAsia="en-AU"/>
        </w:rPr>
        <w:t>a</w:t>
      </w:r>
      <w:r w:rsidR="007C2D10" w:rsidRPr="00112DA7">
        <w:rPr>
          <w:rFonts w:eastAsia="Times New Roman" w:cs="Arial"/>
          <w:sz w:val="22"/>
          <w:lang w:eastAsia="en-AU"/>
        </w:rPr>
        <w:t>ll gov</w:t>
      </w:r>
      <w:r w:rsidR="00306822" w:rsidRPr="00112DA7">
        <w:rPr>
          <w:rFonts w:eastAsia="Times New Roman" w:cs="Arial"/>
          <w:sz w:val="22"/>
          <w:lang w:eastAsia="en-AU"/>
        </w:rPr>
        <w:t>ernment</w:t>
      </w:r>
      <w:r w:rsidR="007C2D10" w:rsidRPr="00112DA7">
        <w:rPr>
          <w:rFonts w:eastAsia="Times New Roman" w:cs="Arial"/>
          <w:sz w:val="22"/>
          <w:lang w:eastAsia="en-AU"/>
        </w:rPr>
        <w:t xml:space="preserve"> programs</w:t>
      </w:r>
      <w:r w:rsidRPr="00112DA7">
        <w:rPr>
          <w:rFonts w:eastAsia="Times New Roman" w:cs="Arial"/>
          <w:sz w:val="22"/>
          <w:lang w:eastAsia="en-AU"/>
        </w:rPr>
        <w:t xml:space="preserve"> </w:t>
      </w:r>
      <w:r w:rsidR="007C2D10" w:rsidRPr="00112DA7">
        <w:rPr>
          <w:rFonts w:eastAsia="Times New Roman" w:cs="Arial"/>
          <w:sz w:val="22"/>
          <w:lang w:eastAsia="en-AU"/>
        </w:rPr>
        <w:t xml:space="preserve">identify and monitor data </w:t>
      </w:r>
      <w:r w:rsidRPr="00112DA7">
        <w:rPr>
          <w:rFonts w:eastAsia="Times New Roman" w:cs="Arial"/>
          <w:sz w:val="22"/>
          <w:lang w:eastAsia="en-AU"/>
        </w:rPr>
        <w:t>related to the impact of programs on people with disability</w:t>
      </w:r>
    </w:p>
    <w:p w14:paraId="2B538616" w14:textId="2CDBDA43" w:rsidR="00A32EDC" w:rsidRPr="00112DA7" w:rsidRDefault="007C2D10" w:rsidP="00607693">
      <w:pPr>
        <w:pStyle w:val="ListParagraph"/>
        <w:numPr>
          <w:ilvl w:val="0"/>
          <w:numId w:val="15"/>
        </w:numPr>
        <w:spacing w:before="200" w:after="0" w:line="276" w:lineRule="auto"/>
        <w:rPr>
          <w:rFonts w:cs="Arial"/>
          <w:b/>
          <w:bCs/>
          <w:sz w:val="22"/>
        </w:rPr>
      </w:pPr>
      <w:r w:rsidRPr="00112DA7">
        <w:rPr>
          <w:rFonts w:cs="Arial"/>
          <w:sz w:val="22"/>
        </w:rPr>
        <w:t>key ind</w:t>
      </w:r>
      <w:r w:rsidR="00306822" w:rsidRPr="00112DA7">
        <w:rPr>
          <w:rFonts w:cs="Arial"/>
          <w:sz w:val="22"/>
        </w:rPr>
        <w:t>icators that align with quality of life</w:t>
      </w:r>
      <w:r w:rsidRPr="00112DA7">
        <w:rPr>
          <w:rFonts w:cs="Arial"/>
          <w:sz w:val="22"/>
        </w:rPr>
        <w:t xml:space="preserve"> domains be developed across all government departments to provide the basis for identifying need, allocating funding and resources and monitoring change over time; and</w:t>
      </w:r>
      <w:r w:rsidR="00E10230" w:rsidRPr="00112DA7">
        <w:rPr>
          <w:rFonts w:cs="Arial"/>
          <w:sz w:val="22"/>
        </w:rPr>
        <w:t xml:space="preserve"> that measures are </w:t>
      </w:r>
      <w:r w:rsidRPr="00112DA7">
        <w:rPr>
          <w:rFonts w:cs="Arial"/>
          <w:sz w:val="22"/>
        </w:rPr>
        <w:t>consisten</w:t>
      </w:r>
      <w:r w:rsidR="00E10230" w:rsidRPr="00112DA7">
        <w:rPr>
          <w:rFonts w:cs="Arial"/>
          <w:sz w:val="22"/>
        </w:rPr>
        <w:t>t</w:t>
      </w:r>
      <w:r w:rsidRPr="00112DA7">
        <w:rPr>
          <w:rFonts w:cs="Arial"/>
          <w:sz w:val="22"/>
        </w:rPr>
        <w:t xml:space="preserve"> with international measures and indicators used by OECD countries to track progress with other OECD countries.</w:t>
      </w:r>
    </w:p>
    <w:sectPr w:rsidR="00A32EDC" w:rsidRPr="00112DA7" w:rsidSect="008B369D">
      <w:headerReference w:type="default" r:id="rId8"/>
      <w:footerReference w:type="even" r:id="rId9"/>
      <w:footerReference w:type="default" r:id="rId10"/>
      <w:pgSz w:w="11900" w:h="16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12B28" w14:textId="77777777" w:rsidR="009A11FB" w:rsidRDefault="009A11FB" w:rsidP="00847BD1">
      <w:pPr>
        <w:spacing w:after="0" w:line="240" w:lineRule="auto"/>
      </w:pPr>
      <w:r>
        <w:separator/>
      </w:r>
    </w:p>
  </w:endnote>
  <w:endnote w:type="continuationSeparator" w:id="0">
    <w:p w14:paraId="20E5DE65" w14:textId="77777777" w:rsidR="009A11FB" w:rsidRDefault="009A11FB" w:rsidP="0084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5433067"/>
      <w:docPartObj>
        <w:docPartGallery w:val="Page Numbers (Bottom of Page)"/>
        <w:docPartUnique/>
      </w:docPartObj>
    </w:sdtPr>
    <w:sdtEndPr>
      <w:rPr>
        <w:rStyle w:val="PageNumber"/>
      </w:rPr>
    </w:sdtEndPr>
    <w:sdtContent>
      <w:p w14:paraId="475691D6" w14:textId="77777777" w:rsidR="007F29FE" w:rsidRDefault="007F29FE" w:rsidP="00EE6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59356" w14:textId="77777777" w:rsidR="007F29FE" w:rsidRDefault="007F29FE" w:rsidP="00181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rPr>
      <w:id w:val="1286927578"/>
      <w:docPartObj>
        <w:docPartGallery w:val="Page Numbers (Bottom of Page)"/>
        <w:docPartUnique/>
      </w:docPartObj>
    </w:sdtPr>
    <w:sdtEndPr>
      <w:rPr>
        <w:rStyle w:val="PageNumber"/>
        <w:rFonts w:ascii="Arial" w:hAnsi="Arial" w:cs="Arial"/>
        <w:sz w:val="20"/>
      </w:rPr>
    </w:sdtEndPr>
    <w:sdtContent>
      <w:p w14:paraId="64E96684" w14:textId="28EB1EB3" w:rsidR="007F29FE" w:rsidRPr="009158E2" w:rsidRDefault="007F29FE" w:rsidP="007F29FE">
        <w:pPr>
          <w:pStyle w:val="Footer"/>
          <w:framePr w:wrap="none" w:vAnchor="text" w:hAnchor="margin" w:xAlign="right" w:y="1"/>
          <w:rPr>
            <w:rStyle w:val="PageNumber"/>
            <w:rFonts w:cs="Arial"/>
            <w:sz w:val="20"/>
          </w:rPr>
        </w:pPr>
        <w:r w:rsidRPr="009158E2">
          <w:rPr>
            <w:rStyle w:val="PageNumber"/>
            <w:rFonts w:cs="Arial"/>
            <w:sz w:val="20"/>
          </w:rPr>
          <w:fldChar w:fldCharType="begin"/>
        </w:r>
        <w:r w:rsidRPr="009158E2">
          <w:rPr>
            <w:rStyle w:val="PageNumber"/>
            <w:rFonts w:cs="Arial"/>
            <w:sz w:val="20"/>
          </w:rPr>
          <w:instrText xml:space="preserve"> PAGE </w:instrText>
        </w:r>
        <w:r w:rsidRPr="009158E2">
          <w:rPr>
            <w:rStyle w:val="PageNumber"/>
            <w:rFonts w:cs="Arial"/>
            <w:sz w:val="20"/>
          </w:rPr>
          <w:fldChar w:fldCharType="separate"/>
        </w:r>
        <w:r w:rsidR="003F007B">
          <w:rPr>
            <w:rStyle w:val="PageNumber"/>
            <w:rFonts w:cs="Arial"/>
            <w:noProof/>
            <w:sz w:val="20"/>
          </w:rPr>
          <w:t>11</w:t>
        </w:r>
        <w:r w:rsidRPr="009158E2">
          <w:rPr>
            <w:rStyle w:val="PageNumber"/>
            <w:rFonts w:cs="Arial"/>
            <w:sz w:val="20"/>
          </w:rPr>
          <w:fldChar w:fldCharType="end"/>
        </w:r>
      </w:p>
    </w:sdtContent>
  </w:sdt>
  <w:p w14:paraId="738EEF83" w14:textId="3F63521D" w:rsidR="007F29FE" w:rsidRDefault="00306822" w:rsidP="0098560F">
    <w:pPr>
      <w:pStyle w:val="Footer"/>
      <w:pBdr>
        <w:top w:val="single" w:sz="4" w:space="1" w:color="auto"/>
      </w:pBdr>
      <w:ind w:right="360"/>
      <w:rPr>
        <w:rFonts w:cs="Arial"/>
        <w:i/>
        <w:iCs/>
        <w:sz w:val="20"/>
      </w:rPr>
    </w:pPr>
    <w:r w:rsidRPr="0098560F">
      <w:rPr>
        <w:rFonts w:cs="Arial"/>
        <w:i/>
        <w:iCs/>
        <w:sz w:val="20"/>
      </w:rPr>
      <w:t xml:space="preserve">Independent Advisory Council Submission to the NDS Outcomes Frameworks </w:t>
    </w:r>
    <w:r w:rsidR="0098560F" w:rsidRPr="0098560F">
      <w:rPr>
        <w:rFonts w:cs="Arial"/>
        <w:i/>
        <w:iCs/>
        <w:sz w:val="20"/>
      </w:rPr>
      <w:t>Consultation 2020</w:t>
    </w:r>
  </w:p>
  <w:p w14:paraId="45A83EFA" w14:textId="77777777" w:rsidR="008B369D" w:rsidRDefault="008B369D" w:rsidP="008B369D">
    <w:pPr>
      <w:pStyle w:val="Footer"/>
      <w:pBdr>
        <w:top w:val="single" w:sz="4" w:space="1" w:color="auto"/>
      </w:pBdr>
      <w:ind w:right="360"/>
      <w:jc w:val="center"/>
      <w:rPr>
        <w:rFonts w:cs="Arial"/>
        <w:b/>
        <w:iCs/>
        <w:color w:val="FF0000"/>
        <w:sz w:val="24"/>
        <w:szCs w:val="24"/>
      </w:rPr>
    </w:pPr>
  </w:p>
  <w:p w14:paraId="6051F927" w14:textId="34B9596B" w:rsidR="008B369D" w:rsidRPr="008B369D" w:rsidRDefault="008B369D" w:rsidP="008B369D">
    <w:pPr>
      <w:pStyle w:val="Footer"/>
      <w:pBdr>
        <w:top w:val="single" w:sz="4" w:space="1" w:color="auto"/>
      </w:pBdr>
      <w:ind w:right="360"/>
      <w:jc w:val="center"/>
      <w:rPr>
        <w:b/>
        <w:color w:val="FF0000"/>
        <w:sz w:val="24"/>
        <w:szCs w:val="24"/>
      </w:rPr>
    </w:pPr>
    <w:r w:rsidRPr="008B369D">
      <w:rPr>
        <w:rFonts w:cs="Arial"/>
        <w:b/>
        <w:iCs/>
        <w:color w:val="FF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34ED" w14:textId="77777777" w:rsidR="009A11FB" w:rsidRDefault="009A11FB" w:rsidP="00847BD1">
      <w:pPr>
        <w:spacing w:after="0" w:line="240" w:lineRule="auto"/>
      </w:pPr>
      <w:r>
        <w:separator/>
      </w:r>
    </w:p>
  </w:footnote>
  <w:footnote w:type="continuationSeparator" w:id="0">
    <w:p w14:paraId="7829C78B" w14:textId="77777777" w:rsidR="009A11FB" w:rsidRDefault="009A11FB" w:rsidP="00847BD1">
      <w:pPr>
        <w:spacing w:after="0" w:line="240" w:lineRule="auto"/>
      </w:pPr>
      <w:r>
        <w:continuationSeparator/>
      </w:r>
    </w:p>
  </w:footnote>
  <w:footnote w:id="1">
    <w:p w14:paraId="531F6426" w14:textId="77777777" w:rsidR="007F29FE" w:rsidRPr="00D97E6F" w:rsidRDefault="007F29FE" w:rsidP="002C44D4">
      <w:pPr>
        <w:pStyle w:val="FootnoteText"/>
        <w:rPr>
          <w:rFonts w:ascii="Arial" w:hAnsi="Arial" w:cs="Arial"/>
          <w:sz w:val="18"/>
          <w:szCs w:val="18"/>
        </w:rPr>
      </w:pPr>
      <w:r w:rsidRPr="00D97E6F">
        <w:rPr>
          <w:rStyle w:val="FootnoteReference"/>
          <w:rFonts w:ascii="Arial" w:hAnsi="Arial" w:cs="Arial"/>
          <w:sz w:val="18"/>
          <w:szCs w:val="18"/>
        </w:rPr>
        <w:footnoteRef/>
      </w:r>
      <w:r w:rsidRPr="00D97E6F">
        <w:rPr>
          <w:rFonts w:ascii="Arial" w:hAnsi="Arial" w:cs="Arial"/>
          <w:sz w:val="18"/>
          <w:szCs w:val="18"/>
        </w:rPr>
        <w:t xml:space="preserve"> </w:t>
      </w:r>
      <w:proofErr w:type="spellStart"/>
      <w:r w:rsidRPr="00D97E6F">
        <w:rPr>
          <w:rFonts w:ascii="Arial" w:hAnsi="Arial" w:cs="Arial"/>
          <w:sz w:val="18"/>
          <w:szCs w:val="18"/>
        </w:rPr>
        <w:t>Bigby</w:t>
      </w:r>
      <w:proofErr w:type="spellEnd"/>
      <w:r w:rsidRPr="00D97E6F">
        <w:rPr>
          <w:rFonts w:ascii="Arial" w:hAnsi="Arial" w:cs="Arial"/>
          <w:sz w:val="18"/>
          <w:szCs w:val="18"/>
        </w:rPr>
        <w:t xml:space="preserve">, C., Douglas, J., &amp; </w:t>
      </w:r>
      <w:proofErr w:type="spellStart"/>
      <w:r w:rsidRPr="00D97E6F">
        <w:rPr>
          <w:rFonts w:ascii="Arial" w:hAnsi="Arial" w:cs="Arial"/>
          <w:sz w:val="18"/>
          <w:szCs w:val="18"/>
        </w:rPr>
        <w:t>Iacono</w:t>
      </w:r>
      <w:proofErr w:type="spellEnd"/>
      <w:r w:rsidRPr="00D97E6F">
        <w:rPr>
          <w:rFonts w:ascii="Arial" w:hAnsi="Arial" w:cs="Arial"/>
          <w:sz w:val="18"/>
          <w:szCs w:val="18"/>
        </w:rPr>
        <w:t xml:space="preserve">, T. (2018). </w:t>
      </w:r>
      <w:r w:rsidRPr="00D97E6F">
        <w:rPr>
          <w:rFonts w:ascii="Arial" w:hAnsi="Arial" w:cs="Arial"/>
          <w:i/>
          <w:iCs/>
          <w:sz w:val="18"/>
          <w:szCs w:val="18"/>
        </w:rPr>
        <w:t>Enabling mainstream systems to be more inclusive and responsive to people with disabilities: Hospital encounters of adults with cognitive disabilities</w:t>
      </w:r>
      <w:r w:rsidRPr="00D97E6F">
        <w:rPr>
          <w:rFonts w:ascii="Arial" w:hAnsi="Arial" w:cs="Arial"/>
          <w:sz w:val="18"/>
          <w:szCs w:val="18"/>
        </w:rPr>
        <w:t>. Report for the National Disability Research and Development Agenda. Melbourne: Living with Disability Research Centre, La Trobe University. P6</w:t>
      </w:r>
    </w:p>
  </w:footnote>
  <w:footnote w:id="2">
    <w:p w14:paraId="4B341A13" w14:textId="4C28152F" w:rsidR="00D97E6F" w:rsidRPr="00D97E6F" w:rsidRDefault="007F29FE" w:rsidP="00CE76A8">
      <w:pPr>
        <w:pStyle w:val="NormalWeb"/>
        <w:spacing w:before="0" w:beforeAutospacing="0" w:after="0" w:afterAutospacing="0"/>
        <w:rPr>
          <w:rFonts w:ascii="Arial" w:hAnsi="Arial" w:cs="Arial"/>
          <w:color w:val="0260BF"/>
          <w:sz w:val="18"/>
          <w:szCs w:val="18"/>
        </w:rPr>
      </w:pPr>
      <w:r w:rsidRPr="00D97E6F">
        <w:rPr>
          <w:rStyle w:val="FootnoteReference"/>
          <w:rFonts w:ascii="Arial" w:eastAsiaTheme="majorEastAsia" w:hAnsi="Arial" w:cs="Arial"/>
          <w:sz w:val="18"/>
          <w:szCs w:val="18"/>
        </w:rPr>
        <w:footnoteRef/>
      </w:r>
      <w:r w:rsidRPr="00D97E6F">
        <w:rPr>
          <w:rFonts w:ascii="Arial" w:hAnsi="Arial" w:cs="Arial"/>
          <w:sz w:val="18"/>
          <w:szCs w:val="18"/>
        </w:rPr>
        <w:t xml:space="preserve"> </w:t>
      </w:r>
      <w:proofErr w:type="spellStart"/>
      <w:r w:rsidRPr="00D97E6F">
        <w:rPr>
          <w:rFonts w:ascii="Arial" w:hAnsi="Arial" w:cs="Arial"/>
          <w:sz w:val="18"/>
          <w:szCs w:val="18"/>
        </w:rPr>
        <w:t>Trollor</w:t>
      </w:r>
      <w:proofErr w:type="spellEnd"/>
      <w:r w:rsidRPr="00D97E6F">
        <w:rPr>
          <w:rFonts w:ascii="Arial" w:hAnsi="Arial" w:cs="Arial"/>
          <w:sz w:val="18"/>
          <w:szCs w:val="18"/>
        </w:rPr>
        <w:t xml:space="preserve"> J, </w:t>
      </w:r>
      <w:proofErr w:type="spellStart"/>
      <w:r w:rsidRPr="00D97E6F">
        <w:rPr>
          <w:rFonts w:ascii="Arial" w:hAnsi="Arial" w:cs="Arial"/>
          <w:sz w:val="18"/>
          <w:szCs w:val="18"/>
        </w:rPr>
        <w:t>Srasuebkul</w:t>
      </w:r>
      <w:proofErr w:type="spellEnd"/>
      <w:r w:rsidRPr="00D97E6F">
        <w:rPr>
          <w:rFonts w:ascii="Arial" w:hAnsi="Arial" w:cs="Arial"/>
          <w:sz w:val="18"/>
          <w:szCs w:val="18"/>
        </w:rPr>
        <w:t xml:space="preserve"> and </w:t>
      </w:r>
      <w:proofErr w:type="spellStart"/>
      <w:r w:rsidRPr="00D97E6F">
        <w:rPr>
          <w:rFonts w:ascii="Arial" w:hAnsi="Arial" w:cs="Arial"/>
          <w:sz w:val="18"/>
          <w:szCs w:val="18"/>
        </w:rPr>
        <w:t>Howlett</w:t>
      </w:r>
      <w:proofErr w:type="spellEnd"/>
      <w:r w:rsidRPr="00D97E6F">
        <w:rPr>
          <w:rFonts w:ascii="Arial" w:hAnsi="Arial" w:cs="Arial"/>
          <w:sz w:val="18"/>
          <w:szCs w:val="18"/>
        </w:rPr>
        <w:t xml:space="preserve"> S (2017)</w:t>
      </w:r>
      <w:r w:rsidRPr="00D97E6F">
        <w:rPr>
          <w:rFonts w:ascii="Arial" w:hAnsi="Arial" w:cs="Arial"/>
          <w:color w:val="0260BF"/>
          <w:sz w:val="18"/>
          <w:szCs w:val="18"/>
        </w:rPr>
        <w:t xml:space="preserve"> </w:t>
      </w:r>
      <w:r w:rsidRPr="00D97E6F">
        <w:rPr>
          <w:rFonts w:ascii="Arial" w:hAnsi="Arial" w:cs="Arial"/>
          <w:sz w:val="18"/>
          <w:szCs w:val="18"/>
        </w:rPr>
        <w:t xml:space="preserve">and Office of the Public Advocate (Qld) 2016, Upholding the right to life and health: a review of the deaths in care of people with disability in Queensland </w:t>
      </w:r>
      <w:hyperlink r:id="rId1" w:history="1">
        <w:r w:rsidR="00D561FC">
          <w:rPr>
            <w:rStyle w:val="Hyperlink"/>
            <w:rFonts w:ascii="Arial" w:hAnsi="Arial" w:cs="Arial"/>
            <w:sz w:val="18"/>
            <w:szCs w:val="18"/>
          </w:rPr>
          <w:t>Final systemic advocacy report - deaths in care of people with disability in Queensland February 2016</w:t>
        </w:r>
      </w:hyperlink>
    </w:p>
  </w:footnote>
  <w:footnote w:id="3">
    <w:p w14:paraId="41B7E3AD" w14:textId="77777777" w:rsidR="007F29FE" w:rsidRPr="0085764B" w:rsidRDefault="007F29FE" w:rsidP="00E10230">
      <w:pPr>
        <w:pStyle w:val="FootnoteText"/>
        <w:rPr>
          <w:rFonts w:ascii="Arial" w:hAnsi="Arial" w:cs="Arial"/>
          <w:sz w:val="16"/>
          <w:szCs w:val="16"/>
        </w:rPr>
      </w:pPr>
      <w:r w:rsidRPr="0085764B">
        <w:rPr>
          <w:rStyle w:val="FootnoteReference"/>
          <w:rFonts w:ascii="Arial" w:hAnsi="Arial" w:cs="Arial"/>
          <w:sz w:val="16"/>
          <w:szCs w:val="16"/>
        </w:rPr>
        <w:footnoteRef/>
      </w:r>
      <w:r w:rsidRPr="0085764B">
        <w:rPr>
          <w:rFonts w:ascii="Arial" w:hAnsi="Arial" w:cs="Arial"/>
          <w:sz w:val="16"/>
          <w:szCs w:val="16"/>
        </w:rPr>
        <w:t xml:space="preserve"> Productivity Commission (2019) </w:t>
      </w:r>
      <w:r w:rsidRPr="0085764B">
        <w:rPr>
          <w:rFonts w:ascii="Arial" w:hAnsi="Arial" w:cs="Arial"/>
          <w:i/>
          <w:sz w:val="16"/>
          <w:szCs w:val="16"/>
        </w:rPr>
        <w:t>Review of the National Disability Agreement,</w:t>
      </w:r>
      <w:r w:rsidRPr="0085764B">
        <w:rPr>
          <w:rFonts w:ascii="Arial" w:hAnsi="Arial" w:cs="Arial"/>
          <w:sz w:val="16"/>
          <w:szCs w:val="16"/>
        </w:rPr>
        <w:t xml:space="preserve"> p10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1888" w14:textId="178F1758" w:rsidR="007F29FE" w:rsidRPr="0098560F" w:rsidRDefault="007F29FE" w:rsidP="00416E7B">
    <w:pPr>
      <w:pStyle w:val="Footer"/>
      <w:jc w:val="right"/>
      <w:rPr>
        <w:rFonts w:cs="Arial"/>
        <w:iCs/>
        <w:sz w:val="20"/>
        <w:szCs w:val="20"/>
      </w:rPr>
    </w:pPr>
    <w:r w:rsidRPr="0098560F">
      <w:rPr>
        <w:rFonts w:cs="Arial"/>
        <w:noProof/>
        <w:lang w:eastAsia="en-AU"/>
      </w:rPr>
      <w:drawing>
        <wp:inline distT="0" distB="0" distL="0" distR="0" wp14:anchorId="63526402" wp14:editId="6AD39C48">
          <wp:extent cx="1030817" cy="537909"/>
          <wp:effectExtent l="0" t="0" r="0" b="0"/>
          <wp:docPr id="1" name="Picture 1" descr="IAC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504" cy="5393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5EF"/>
    <w:multiLevelType w:val="hybridMultilevel"/>
    <w:tmpl w:val="00A2A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857A8"/>
    <w:multiLevelType w:val="hybridMultilevel"/>
    <w:tmpl w:val="1CB2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D17AA"/>
    <w:multiLevelType w:val="multilevel"/>
    <w:tmpl w:val="FF48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A31E4"/>
    <w:multiLevelType w:val="hybridMultilevel"/>
    <w:tmpl w:val="4AE6E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D64B7"/>
    <w:multiLevelType w:val="multilevel"/>
    <w:tmpl w:val="C6D681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06B70"/>
    <w:multiLevelType w:val="hybridMultilevel"/>
    <w:tmpl w:val="F98C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22F26"/>
    <w:multiLevelType w:val="hybridMultilevel"/>
    <w:tmpl w:val="E5E8A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D63CC"/>
    <w:multiLevelType w:val="hybridMultilevel"/>
    <w:tmpl w:val="A2E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F0C4E"/>
    <w:multiLevelType w:val="multilevel"/>
    <w:tmpl w:val="6ADE3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0704EE"/>
    <w:multiLevelType w:val="multilevel"/>
    <w:tmpl w:val="A8C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F4AFC"/>
    <w:multiLevelType w:val="multilevel"/>
    <w:tmpl w:val="C6D681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275E5"/>
    <w:multiLevelType w:val="multilevel"/>
    <w:tmpl w:val="52BA35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57E3C5B"/>
    <w:multiLevelType w:val="hybridMultilevel"/>
    <w:tmpl w:val="5ED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05E58"/>
    <w:multiLevelType w:val="hybridMultilevel"/>
    <w:tmpl w:val="6016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E79D3"/>
    <w:multiLevelType w:val="hybridMultilevel"/>
    <w:tmpl w:val="E4B6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4743D"/>
    <w:multiLevelType w:val="multilevel"/>
    <w:tmpl w:val="3BA22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54635C5"/>
    <w:multiLevelType w:val="hybridMultilevel"/>
    <w:tmpl w:val="08889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626AD"/>
    <w:multiLevelType w:val="multilevel"/>
    <w:tmpl w:val="C6D681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347228"/>
    <w:multiLevelType w:val="hybridMultilevel"/>
    <w:tmpl w:val="7C5A0820"/>
    <w:lvl w:ilvl="0" w:tplc="0C090001">
      <w:start w:val="1"/>
      <w:numFmt w:val="bullet"/>
      <w:lvlText w:val=""/>
      <w:lvlJc w:val="left"/>
      <w:pPr>
        <w:ind w:left="720" w:hanging="360"/>
      </w:pPr>
      <w:rPr>
        <w:rFonts w:ascii="Symbol" w:hAnsi="Symbol" w:hint="default"/>
        <w:color w:val="auto"/>
        <w:sz w:val="25"/>
        <w:szCs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63E3A"/>
    <w:multiLevelType w:val="multilevel"/>
    <w:tmpl w:val="F404C7A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E5040CB"/>
    <w:multiLevelType w:val="multilevel"/>
    <w:tmpl w:val="FFC6D9E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0E71F93"/>
    <w:multiLevelType w:val="hybridMultilevel"/>
    <w:tmpl w:val="F6C82166"/>
    <w:lvl w:ilvl="0" w:tplc="97C4BDD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4F16DF"/>
    <w:multiLevelType w:val="multilevel"/>
    <w:tmpl w:val="5ABE9588"/>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6A14018"/>
    <w:multiLevelType w:val="hybridMultilevel"/>
    <w:tmpl w:val="2B7EF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30991"/>
    <w:multiLevelType w:val="hybridMultilevel"/>
    <w:tmpl w:val="5B40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3277B"/>
    <w:multiLevelType w:val="hybridMultilevel"/>
    <w:tmpl w:val="C7E407E4"/>
    <w:lvl w:ilvl="0" w:tplc="26A870B6">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6"/>
  </w:num>
  <w:num w:numId="4">
    <w:abstractNumId w:val="8"/>
  </w:num>
  <w:num w:numId="5">
    <w:abstractNumId w:val="23"/>
  </w:num>
  <w:num w:numId="6">
    <w:abstractNumId w:val="2"/>
  </w:num>
  <w:num w:numId="7">
    <w:abstractNumId w:val="14"/>
  </w:num>
  <w:num w:numId="8">
    <w:abstractNumId w:val="6"/>
  </w:num>
  <w:num w:numId="9">
    <w:abstractNumId w:val="1"/>
  </w:num>
  <w:num w:numId="10">
    <w:abstractNumId w:val="24"/>
  </w:num>
  <w:num w:numId="11">
    <w:abstractNumId w:val="0"/>
  </w:num>
  <w:num w:numId="12">
    <w:abstractNumId w:val="13"/>
  </w:num>
  <w:num w:numId="13">
    <w:abstractNumId w:val="5"/>
  </w:num>
  <w:num w:numId="14">
    <w:abstractNumId w:val="15"/>
  </w:num>
  <w:num w:numId="15">
    <w:abstractNumId w:val="12"/>
  </w:num>
  <w:num w:numId="16">
    <w:abstractNumId w:val="3"/>
  </w:num>
  <w:num w:numId="17">
    <w:abstractNumId w:val="7"/>
  </w:num>
  <w:num w:numId="18">
    <w:abstractNumId w:val="11"/>
  </w:num>
  <w:num w:numId="19">
    <w:abstractNumId w:val="9"/>
  </w:num>
  <w:num w:numId="20">
    <w:abstractNumId w:val="17"/>
  </w:num>
  <w:num w:numId="21">
    <w:abstractNumId w:val="10"/>
  </w:num>
  <w:num w:numId="22">
    <w:abstractNumId w:val="4"/>
  </w:num>
  <w:num w:numId="23">
    <w:abstractNumId w:val="19"/>
  </w:num>
  <w:num w:numId="24">
    <w:abstractNumId w:val="2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71"/>
    <w:rsid w:val="00030B58"/>
    <w:rsid w:val="00036BF3"/>
    <w:rsid w:val="00060919"/>
    <w:rsid w:val="0007144E"/>
    <w:rsid w:val="000B267C"/>
    <w:rsid w:val="000B7BE1"/>
    <w:rsid w:val="00112DA7"/>
    <w:rsid w:val="00115F38"/>
    <w:rsid w:val="00150CAF"/>
    <w:rsid w:val="001756D2"/>
    <w:rsid w:val="00176E3E"/>
    <w:rsid w:val="001814A6"/>
    <w:rsid w:val="0020161F"/>
    <w:rsid w:val="00230D1D"/>
    <w:rsid w:val="00280671"/>
    <w:rsid w:val="002A20FE"/>
    <w:rsid w:val="002C44D4"/>
    <w:rsid w:val="002D5CFB"/>
    <w:rsid w:val="00306822"/>
    <w:rsid w:val="003200E1"/>
    <w:rsid w:val="003267B4"/>
    <w:rsid w:val="00330375"/>
    <w:rsid w:val="003662DC"/>
    <w:rsid w:val="003A0EC7"/>
    <w:rsid w:val="003B7987"/>
    <w:rsid w:val="003C53DA"/>
    <w:rsid w:val="003C6EC8"/>
    <w:rsid w:val="003F007B"/>
    <w:rsid w:val="00416E7B"/>
    <w:rsid w:val="00424061"/>
    <w:rsid w:val="004A326E"/>
    <w:rsid w:val="004C1346"/>
    <w:rsid w:val="004E033A"/>
    <w:rsid w:val="00504448"/>
    <w:rsid w:val="00505E5F"/>
    <w:rsid w:val="00505F0D"/>
    <w:rsid w:val="00547A88"/>
    <w:rsid w:val="00560601"/>
    <w:rsid w:val="00566D4A"/>
    <w:rsid w:val="005872A9"/>
    <w:rsid w:val="005D110A"/>
    <w:rsid w:val="006008B9"/>
    <w:rsid w:val="00621643"/>
    <w:rsid w:val="00625B00"/>
    <w:rsid w:val="006F66C0"/>
    <w:rsid w:val="00727A8F"/>
    <w:rsid w:val="00744D7D"/>
    <w:rsid w:val="00795F0A"/>
    <w:rsid w:val="007A3B10"/>
    <w:rsid w:val="007C2D10"/>
    <w:rsid w:val="007F29FE"/>
    <w:rsid w:val="007F385E"/>
    <w:rsid w:val="0080209E"/>
    <w:rsid w:val="00840F5A"/>
    <w:rsid w:val="00847BD1"/>
    <w:rsid w:val="00857A5E"/>
    <w:rsid w:val="00887D6A"/>
    <w:rsid w:val="008A25EB"/>
    <w:rsid w:val="008A432D"/>
    <w:rsid w:val="008A5AFD"/>
    <w:rsid w:val="008B369D"/>
    <w:rsid w:val="008E1E18"/>
    <w:rsid w:val="00900C8E"/>
    <w:rsid w:val="009158E2"/>
    <w:rsid w:val="00915E2C"/>
    <w:rsid w:val="00922F3D"/>
    <w:rsid w:val="00923013"/>
    <w:rsid w:val="00924265"/>
    <w:rsid w:val="00933B2C"/>
    <w:rsid w:val="009344B9"/>
    <w:rsid w:val="009447C2"/>
    <w:rsid w:val="00955AD4"/>
    <w:rsid w:val="0098560F"/>
    <w:rsid w:val="00992F0C"/>
    <w:rsid w:val="00997835"/>
    <w:rsid w:val="009A11FB"/>
    <w:rsid w:val="009E3B5C"/>
    <w:rsid w:val="00A32EDC"/>
    <w:rsid w:val="00A37055"/>
    <w:rsid w:val="00AB7CEA"/>
    <w:rsid w:val="00B14742"/>
    <w:rsid w:val="00B675C5"/>
    <w:rsid w:val="00B97FAE"/>
    <w:rsid w:val="00BA15CE"/>
    <w:rsid w:val="00BC0572"/>
    <w:rsid w:val="00BC178A"/>
    <w:rsid w:val="00C203D9"/>
    <w:rsid w:val="00C642A2"/>
    <w:rsid w:val="00C827AD"/>
    <w:rsid w:val="00CA6647"/>
    <w:rsid w:val="00CC361C"/>
    <w:rsid w:val="00CD4B33"/>
    <w:rsid w:val="00CE76A8"/>
    <w:rsid w:val="00CF1684"/>
    <w:rsid w:val="00D21171"/>
    <w:rsid w:val="00D273B4"/>
    <w:rsid w:val="00D45386"/>
    <w:rsid w:val="00D561FC"/>
    <w:rsid w:val="00D97E6F"/>
    <w:rsid w:val="00DE1C56"/>
    <w:rsid w:val="00DE4FEB"/>
    <w:rsid w:val="00E06A1D"/>
    <w:rsid w:val="00E10230"/>
    <w:rsid w:val="00E26FD0"/>
    <w:rsid w:val="00ED76F0"/>
    <w:rsid w:val="00EE3D4B"/>
    <w:rsid w:val="00EE3D54"/>
    <w:rsid w:val="00EE6BC7"/>
    <w:rsid w:val="00F10898"/>
    <w:rsid w:val="00F14374"/>
    <w:rsid w:val="00F47FD0"/>
    <w:rsid w:val="00F7306F"/>
    <w:rsid w:val="00F75063"/>
    <w:rsid w:val="00F81A48"/>
    <w:rsid w:val="00FD289C"/>
    <w:rsid w:val="00FD5BBE"/>
    <w:rsid w:val="00FF0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6B69B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61"/>
    <w:pPr>
      <w:spacing w:after="200" w:line="276" w:lineRule="auto"/>
    </w:pPr>
    <w:rPr>
      <w:rFonts w:ascii="Arial" w:eastAsia="Calibri" w:hAnsi="Arial" w:cs="Times New Roman"/>
      <w:sz w:val="22"/>
      <w:szCs w:val="22"/>
      <w:lang w:val="en-AU"/>
    </w:rPr>
  </w:style>
  <w:style w:type="paragraph" w:styleId="Heading1">
    <w:name w:val="heading 1"/>
    <w:basedOn w:val="Normal"/>
    <w:next w:val="Normal"/>
    <w:link w:val="Heading1Char"/>
    <w:autoRedefine/>
    <w:uiPriority w:val="9"/>
    <w:qFormat/>
    <w:rsid w:val="009158E2"/>
    <w:pPr>
      <w:keepNext/>
      <w:keepLines/>
      <w:spacing w:before="240" w:after="0"/>
      <w:outlineLvl w:val="0"/>
    </w:pPr>
    <w:rPr>
      <w:rFonts w:eastAsia="Times" w:cstheme="majorBidi"/>
      <w:b/>
      <w:bCs/>
      <w:color w:val="6B2976"/>
      <w:sz w:val="32"/>
      <w:szCs w:val="32"/>
    </w:rPr>
  </w:style>
  <w:style w:type="paragraph" w:styleId="Heading2">
    <w:name w:val="heading 2"/>
    <w:basedOn w:val="Normal"/>
    <w:next w:val="Normal"/>
    <w:link w:val="Heading2Char"/>
    <w:autoRedefine/>
    <w:uiPriority w:val="9"/>
    <w:unhideWhenUsed/>
    <w:qFormat/>
    <w:rsid w:val="009158E2"/>
    <w:pPr>
      <w:spacing w:before="200"/>
      <w:outlineLvl w:val="1"/>
    </w:pPr>
    <w:rPr>
      <w:rFonts w:eastAsia="Times New Roman"/>
      <w:b/>
      <w:bCs/>
      <w:color w:val="000000" w:themeColor="text1"/>
      <w:sz w:val="26"/>
      <w:szCs w:val="26"/>
    </w:rPr>
  </w:style>
  <w:style w:type="paragraph" w:styleId="Heading3">
    <w:name w:val="heading 3"/>
    <w:basedOn w:val="Normal"/>
    <w:next w:val="Normal"/>
    <w:link w:val="Heading3Char"/>
    <w:uiPriority w:val="9"/>
    <w:unhideWhenUsed/>
    <w:qFormat/>
    <w:rsid w:val="009158E2"/>
    <w:pPr>
      <w:keepNext/>
      <w:keepLines/>
      <w:spacing w:before="40" w:after="0" w:line="240" w:lineRule="auto"/>
      <w:outlineLvl w:val="2"/>
    </w:pPr>
    <w:rPr>
      <w:rFonts w:eastAsiaTheme="majorEastAsia" w:cstheme="majorBidi"/>
      <w:b/>
      <w:color w:val="6B2976"/>
      <w:sz w:val="24"/>
      <w:szCs w:val="24"/>
    </w:rPr>
  </w:style>
  <w:style w:type="paragraph" w:styleId="Heading4">
    <w:name w:val="heading 4"/>
    <w:basedOn w:val="Normal"/>
    <w:next w:val="Normal"/>
    <w:link w:val="Heading4Char"/>
    <w:uiPriority w:val="9"/>
    <w:unhideWhenUsed/>
    <w:qFormat/>
    <w:rsid w:val="00847BD1"/>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8E2"/>
    <w:rPr>
      <w:rFonts w:ascii="Arial" w:eastAsia="Times New Roman" w:hAnsi="Arial" w:cs="Times New Roman"/>
      <w:b/>
      <w:bCs/>
      <w:color w:val="000000" w:themeColor="text1"/>
      <w:sz w:val="26"/>
      <w:szCs w:val="26"/>
      <w:lang w:val="en-AU"/>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D97E6F"/>
    <w:pPr>
      <w:numPr>
        <w:numId w:val="2"/>
      </w:numPr>
      <w:spacing w:before="40" w:after="40" w:line="240" w:lineRule="auto"/>
      <w:ind w:left="641" w:hanging="357"/>
      <w:contextualSpacing/>
    </w:pPr>
    <w:rPr>
      <w:sz w:val="20"/>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rsid w:val="00D97E6F"/>
    <w:rPr>
      <w:rFonts w:ascii="Arial" w:eastAsia="Calibri" w:hAnsi="Arial" w:cs="Times New Roman"/>
      <w:sz w:val="20"/>
      <w:szCs w:val="22"/>
      <w:lang w:val="en-AU"/>
    </w:rPr>
  </w:style>
  <w:style w:type="paragraph" w:styleId="BalloonText">
    <w:name w:val="Balloon Text"/>
    <w:basedOn w:val="Normal"/>
    <w:link w:val="BalloonTextChar"/>
    <w:uiPriority w:val="99"/>
    <w:semiHidden/>
    <w:unhideWhenUsed/>
    <w:rsid w:val="006F66C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66C0"/>
    <w:rPr>
      <w:rFonts w:ascii="Times New Roman" w:eastAsia="Calibri" w:hAnsi="Times New Roman" w:cs="Times New Roman"/>
      <w:sz w:val="18"/>
      <w:szCs w:val="18"/>
      <w:lang w:val="en-AU"/>
    </w:rPr>
  </w:style>
  <w:style w:type="table" w:styleId="TableGrid">
    <w:name w:val="Table Grid"/>
    <w:basedOn w:val="TableNormal"/>
    <w:uiPriority w:val="39"/>
    <w:rsid w:val="0062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47BD1"/>
    <w:rPr>
      <w:rFonts w:asciiTheme="majorHAnsi" w:eastAsiaTheme="majorEastAsia" w:hAnsiTheme="majorHAnsi" w:cstheme="majorBidi"/>
      <w:i/>
      <w:iCs/>
      <w:color w:val="2F5496" w:themeColor="accent1" w:themeShade="BF"/>
      <w:lang w:val="en-AU"/>
    </w:rPr>
  </w:style>
  <w:style w:type="character" w:customStyle="1" w:styleId="Heading3Char">
    <w:name w:val="Heading 3 Char"/>
    <w:basedOn w:val="DefaultParagraphFont"/>
    <w:link w:val="Heading3"/>
    <w:uiPriority w:val="9"/>
    <w:rsid w:val="009158E2"/>
    <w:rPr>
      <w:rFonts w:ascii="Arial" w:eastAsiaTheme="majorEastAsia" w:hAnsi="Arial" w:cstheme="majorBidi"/>
      <w:b/>
      <w:color w:val="6B2976"/>
      <w:lang w:val="en-AU"/>
    </w:rPr>
  </w:style>
  <w:style w:type="paragraph" w:styleId="FootnoteText">
    <w:name w:val="footnote text"/>
    <w:basedOn w:val="Normal"/>
    <w:link w:val="FootnoteTextChar"/>
    <w:uiPriority w:val="99"/>
    <w:unhideWhenUsed/>
    <w:rsid w:val="00847BD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47BD1"/>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847BD1"/>
    <w:rPr>
      <w:vertAlign w:val="superscript"/>
    </w:rPr>
  </w:style>
  <w:style w:type="paragraph" w:styleId="NormalWeb">
    <w:name w:val="Normal (Web)"/>
    <w:basedOn w:val="Normal"/>
    <w:uiPriority w:val="99"/>
    <w:unhideWhenUsed/>
    <w:rsid w:val="006008B9"/>
    <w:pPr>
      <w:spacing w:before="100" w:beforeAutospacing="1" w:after="100" w:afterAutospacing="1" w:line="240" w:lineRule="auto"/>
    </w:pPr>
    <w:rPr>
      <w:rFonts w:ascii="Times New Roman" w:eastAsia="Times New Roman" w:hAnsi="Times New Roman"/>
      <w:sz w:val="24"/>
      <w:szCs w:val="24"/>
    </w:rPr>
  </w:style>
  <w:style w:type="paragraph" w:customStyle="1" w:styleId="NumberLevel1">
    <w:name w:val="Number Level 1"/>
    <w:aliases w:val="N1"/>
    <w:basedOn w:val="Normal"/>
    <w:uiPriority w:val="1"/>
    <w:qFormat/>
    <w:rsid w:val="00C827AD"/>
    <w:pPr>
      <w:spacing w:before="140" w:after="140" w:line="360" w:lineRule="auto"/>
    </w:pPr>
    <w:rPr>
      <w:rFonts w:ascii="Calibri" w:eastAsia="Times New Roman" w:hAnsi="Calibri" w:cs="Calibri"/>
      <w:sz w:val="24"/>
      <w:szCs w:val="24"/>
      <w:lang w:eastAsia="en-AU"/>
    </w:rPr>
  </w:style>
  <w:style w:type="paragraph" w:customStyle="1" w:styleId="NumberLevel4">
    <w:name w:val="Number Level 4"/>
    <w:aliases w:val="N4"/>
    <w:basedOn w:val="Normal"/>
    <w:uiPriority w:val="1"/>
    <w:qFormat/>
    <w:rsid w:val="00C827AD"/>
    <w:pPr>
      <w:spacing w:after="140" w:line="280" w:lineRule="atLeast"/>
    </w:pPr>
    <w:rPr>
      <w:rFonts w:eastAsia="Times New Roman" w:cs="Arial"/>
      <w:lang w:eastAsia="en-AU"/>
    </w:rPr>
  </w:style>
  <w:style w:type="paragraph" w:styleId="Footer">
    <w:name w:val="footer"/>
    <w:basedOn w:val="Normal"/>
    <w:link w:val="FooterChar"/>
    <w:uiPriority w:val="99"/>
    <w:unhideWhenUsed/>
    <w:rsid w:val="0018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4A6"/>
    <w:rPr>
      <w:rFonts w:ascii="Arial" w:eastAsia="Calibri" w:hAnsi="Arial" w:cs="Times New Roman"/>
      <w:sz w:val="22"/>
      <w:szCs w:val="22"/>
      <w:lang w:val="en-AU"/>
    </w:rPr>
  </w:style>
  <w:style w:type="character" w:styleId="PageNumber">
    <w:name w:val="page number"/>
    <w:basedOn w:val="DefaultParagraphFont"/>
    <w:uiPriority w:val="99"/>
    <w:semiHidden/>
    <w:unhideWhenUsed/>
    <w:rsid w:val="001814A6"/>
  </w:style>
  <w:style w:type="character" w:customStyle="1" w:styleId="Heading1Char">
    <w:name w:val="Heading 1 Char"/>
    <w:basedOn w:val="DefaultParagraphFont"/>
    <w:link w:val="Heading1"/>
    <w:uiPriority w:val="9"/>
    <w:rsid w:val="009158E2"/>
    <w:rPr>
      <w:rFonts w:ascii="Arial" w:eastAsia="Times" w:hAnsi="Arial" w:cstheme="majorBidi"/>
      <w:b/>
      <w:bCs/>
      <w:color w:val="6B2976"/>
      <w:sz w:val="32"/>
      <w:szCs w:val="32"/>
      <w:lang w:val="en-AU"/>
    </w:rPr>
  </w:style>
  <w:style w:type="paragraph" w:customStyle="1" w:styleId="Style1">
    <w:name w:val="Style1"/>
    <w:basedOn w:val="Normal"/>
    <w:qFormat/>
    <w:rsid w:val="007C2D10"/>
    <w:rPr>
      <w:rFonts w:asciiTheme="majorHAnsi" w:hAnsiTheme="majorHAnsi"/>
      <w:b/>
    </w:rPr>
  </w:style>
  <w:style w:type="paragraph" w:styleId="TOCHeading">
    <w:name w:val="TOC Heading"/>
    <w:basedOn w:val="Heading1"/>
    <w:next w:val="Normal"/>
    <w:uiPriority w:val="39"/>
    <w:unhideWhenUsed/>
    <w:qFormat/>
    <w:rsid w:val="002A20FE"/>
    <w:pPr>
      <w:spacing w:before="480"/>
      <w:outlineLvl w:val="9"/>
    </w:pPr>
    <w:rPr>
      <w:rFonts w:eastAsiaTheme="majorEastAsia"/>
      <w:color w:val="2F5496" w:themeColor="accent1" w:themeShade="BF"/>
      <w:sz w:val="28"/>
      <w:szCs w:val="28"/>
      <w:lang w:val="en-US"/>
    </w:rPr>
  </w:style>
  <w:style w:type="paragraph" w:styleId="TOC1">
    <w:name w:val="toc 1"/>
    <w:basedOn w:val="Normal"/>
    <w:next w:val="Normal"/>
    <w:autoRedefine/>
    <w:uiPriority w:val="39"/>
    <w:unhideWhenUsed/>
    <w:rsid w:val="002A20FE"/>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2A20FE"/>
    <w:pPr>
      <w:spacing w:before="120" w:after="0"/>
      <w:ind w:left="220"/>
    </w:pPr>
    <w:rPr>
      <w:rFonts w:asciiTheme="minorHAnsi" w:hAnsiTheme="minorHAnsi"/>
      <w:i/>
      <w:iCs/>
      <w:sz w:val="20"/>
      <w:szCs w:val="20"/>
    </w:rPr>
  </w:style>
  <w:style w:type="character" w:styleId="Hyperlink">
    <w:name w:val="Hyperlink"/>
    <w:basedOn w:val="DefaultParagraphFont"/>
    <w:uiPriority w:val="99"/>
    <w:unhideWhenUsed/>
    <w:rsid w:val="002A20FE"/>
    <w:rPr>
      <w:color w:val="0563C1" w:themeColor="hyperlink"/>
      <w:u w:val="single"/>
    </w:rPr>
  </w:style>
  <w:style w:type="paragraph" w:styleId="TOC3">
    <w:name w:val="toc 3"/>
    <w:basedOn w:val="Normal"/>
    <w:next w:val="Normal"/>
    <w:autoRedefine/>
    <w:uiPriority w:val="39"/>
    <w:unhideWhenUsed/>
    <w:rsid w:val="002A20FE"/>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2A20F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A20F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A20F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A20F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A20F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A20FE"/>
    <w:pPr>
      <w:spacing w:after="0"/>
      <w:ind w:left="1760"/>
    </w:pPr>
    <w:rPr>
      <w:rFonts w:asciiTheme="minorHAnsi" w:hAnsiTheme="minorHAnsi"/>
      <w:sz w:val="20"/>
      <w:szCs w:val="20"/>
    </w:rPr>
  </w:style>
  <w:style w:type="paragraph" w:styleId="Header">
    <w:name w:val="header"/>
    <w:basedOn w:val="Normal"/>
    <w:link w:val="HeaderChar"/>
    <w:uiPriority w:val="99"/>
    <w:unhideWhenUsed/>
    <w:rsid w:val="00EE6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C7"/>
    <w:rPr>
      <w:rFonts w:ascii="Arial" w:eastAsia="Calibri" w:hAnsi="Arial" w:cs="Times New Roman"/>
      <w:sz w:val="22"/>
      <w:szCs w:val="22"/>
      <w:lang w:val="en-AU"/>
    </w:rPr>
  </w:style>
  <w:style w:type="character" w:styleId="CommentReference">
    <w:name w:val="annotation reference"/>
    <w:basedOn w:val="DefaultParagraphFont"/>
    <w:uiPriority w:val="99"/>
    <w:semiHidden/>
    <w:unhideWhenUsed/>
    <w:rsid w:val="00F47FD0"/>
    <w:rPr>
      <w:sz w:val="16"/>
      <w:szCs w:val="16"/>
    </w:rPr>
  </w:style>
  <w:style w:type="paragraph" w:styleId="CommentText">
    <w:name w:val="annotation text"/>
    <w:basedOn w:val="Normal"/>
    <w:link w:val="CommentTextChar"/>
    <w:uiPriority w:val="99"/>
    <w:semiHidden/>
    <w:unhideWhenUsed/>
    <w:rsid w:val="00F47FD0"/>
    <w:pPr>
      <w:spacing w:line="240" w:lineRule="auto"/>
    </w:pPr>
    <w:rPr>
      <w:sz w:val="20"/>
      <w:szCs w:val="20"/>
    </w:rPr>
  </w:style>
  <w:style w:type="character" w:customStyle="1" w:styleId="CommentTextChar">
    <w:name w:val="Comment Text Char"/>
    <w:basedOn w:val="DefaultParagraphFont"/>
    <w:link w:val="CommentText"/>
    <w:uiPriority w:val="99"/>
    <w:semiHidden/>
    <w:rsid w:val="00F47FD0"/>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47FD0"/>
    <w:rPr>
      <w:b/>
      <w:bCs/>
    </w:rPr>
  </w:style>
  <w:style w:type="character" w:customStyle="1" w:styleId="CommentSubjectChar">
    <w:name w:val="Comment Subject Char"/>
    <w:basedOn w:val="CommentTextChar"/>
    <w:link w:val="CommentSubject"/>
    <w:uiPriority w:val="99"/>
    <w:semiHidden/>
    <w:rsid w:val="00F47FD0"/>
    <w:rPr>
      <w:rFonts w:ascii="Arial" w:eastAsia="Calibri" w:hAnsi="Arial" w:cs="Times New Roman"/>
      <w:b/>
      <w:bCs/>
      <w:sz w:val="20"/>
      <w:szCs w:val="20"/>
      <w:lang w:val="en-AU"/>
    </w:rPr>
  </w:style>
  <w:style w:type="paragraph" w:styleId="Title">
    <w:name w:val="Title"/>
    <w:basedOn w:val="Normal"/>
    <w:next w:val="Normal"/>
    <w:link w:val="TitleChar"/>
    <w:uiPriority w:val="10"/>
    <w:qFormat/>
    <w:rsid w:val="005872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2A9"/>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qld.gov.au/__data/assets/pdf_file%20/final-systemic-advocacy-report-%20deaths-in-care-of-people-with-disability-in-Queensland-February-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4AC6-0354-4396-B0EB-8A64160F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2021-07-08T04:59:00Z</dcterms:created>
  <dcterms:modified xsi:type="dcterms:W3CDTF">2021-07-09T02:02:00Z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